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line="348" w:lineRule="atLeast"/>
        <w:ind w:left="-120" w:right="-120"/>
        <w:jc w:val="center"/>
      </w:pPr>
      <w:r>
        <w:rPr>
          <w:rStyle w:val="7"/>
          <w:rFonts w:hint="eastAsia" w:ascii="宋体" w:hAnsi="宋体" w:eastAsia="宋体" w:cs="宋体"/>
          <w:b/>
          <w:bCs/>
          <w:color w:val="000000"/>
          <w:sz w:val="25"/>
          <w:szCs w:val="25"/>
        </w:rPr>
        <w:t>关于</w:t>
      </w:r>
      <w:r>
        <w:rPr>
          <w:rStyle w:val="7"/>
          <w:rFonts w:hint="eastAsia" w:ascii="宋体" w:hAnsi="宋体" w:eastAsia="宋体" w:cs="宋体"/>
          <w:b/>
          <w:bCs/>
          <w:sz w:val="25"/>
          <w:szCs w:val="25"/>
        </w:rPr>
        <w:t>印发《上海海事大学落实推进二级单位党风廉政建设责任制的实施办法（试行）》的通知</w:t>
      </w:r>
    </w:p>
    <w:p>
      <w:pPr>
        <w:pStyle w:val="4"/>
        <w:keepNext w:val="0"/>
        <w:keepLines w:val="0"/>
        <w:widowControl/>
        <w:suppressLineNumbers w:val="0"/>
        <w:spacing w:line="348" w:lineRule="atLeast"/>
        <w:ind w:left="-120" w:right="-120"/>
        <w:jc w:val="center"/>
      </w:pPr>
      <w:r>
        <w:rPr>
          <w:rFonts w:hint="default" w:ascii="Times New Roman" w:hAnsi="Times New Roman" w:cs="Times New Roman"/>
          <w:color w:val="000000"/>
          <w:sz w:val="25"/>
          <w:szCs w:val="25"/>
        </w:rPr>
        <w:t> </w:t>
      </w:r>
    </w:p>
    <w:p>
      <w:pPr>
        <w:pStyle w:val="4"/>
        <w:keepNext w:val="0"/>
        <w:keepLines w:val="0"/>
        <w:widowControl/>
        <w:suppressLineNumbers w:val="0"/>
        <w:spacing w:line="348" w:lineRule="atLeast"/>
        <w:ind w:left="-120" w:right="-120"/>
        <w:jc w:val="center"/>
      </w:pPr>
      <w:r>
        <w:rPr>
          <w:rFonts w:ascii="仿宋_GB2312" w:hAnsi="Times New Roman" w:eastAsia="仿宋_GB2312" w:cs="仿宋_GB2312"/>
          <w:color w:val="000000"/>
          <w:sz w:val="22"/>
          <w:szCs w:val="22"/>
        </w:rPr>
        <w:t>沪海大</w:t>
      </w:r>
      <w:r>
        <w:rPr>
          <w:rFonts w:hint="eastAsia" w:ascii="仿宋_GB2312" w:hAnsi="Times New Roman" w:eastAsia="仿宋_GB2312" w:cs="仿宋_GB2312"/>
          <w:color w:val="000000"/>
          <w:sz w:val="22"/>
          <w:szCs w:val="22"/>
        </w:rPr>
        <w:t>委〔</w:t>
      </w:r>
      <w:r>
        <w:rPr>
          <w:rFonts w:hint="default" w:ascii="Times New Roman" w:hAnsi="Times New Roman" w:cs="Times New Roman"/>
          <w:color w:val="000000"/>
          <w:sz w:val="22"/>
          <w:szCs w:val="22"/>
        </w:rPr>
        <w:t>2016</w:t>
      </w:r>
      <w:r>
        <w:rPr>
          <w:rFonts w:hint="eastAsia" w:ascii="仿宋_GB2312" w:hAnsi="Times New Roman" w:eastAsia="仿宋_GB2312" w:cs="仿宋_GB2312"/>
          <w:color w:val="000000"/>
          <w:sz w:val="22"/>
          <w:szCs w:val="22"/>
        </w:rPr>
        <w:t>〕25号</w:t>
      </w:r>
    </w:p>
    <w:p>
      <w:pPr>
        <w:pStyle w:val="4"/>
        <w:keepNext w:val="0"/>
        <w:keepLines w:val="0"/>
        <w:widowControl/>
        <w:suppressLineNumbers w:val="0"/>
        <w:spacing w:line="396" w:lineRule="atLeast"/>
        <w:ind w:left="-120" w:right="-120"/>
        <w:jc w:val="center"/>
      </w:pPr>
      <w:r>
        <w:rPr>
          <w:rFonts w:hint="default" w:ascii="Times New Roman" w:hAnsi="Times New Roman" w:cs="Times New Roman"/>
          <w:color w:val="FF0000"/>
          <w:sz w:val="22"/>
          <w:szCs w:val="22"/>
        </w:rPr>
        <w:t> </w:t>
      </w:r>
    </w:p>
    <w:p>
      <w:pPr>
        <w:pStyle w:val="4"/>
        <w:keepNext w:val="0"/>
        <w:keepLines w:val="0"/>
        <w:widowControl/>
        <w:suppressLineNumbers w:val="0"/>
        <w:spacing w:line="348" w:lineRule="atLeast"/>
        <w:ind w:left="-120" w:right="-120"/>
      </w:pPr>
      <w:r>
        <w:rPr>
          <w:rFonts w:hint="default" w:ascii="Times New Roman" w:hAnsi="Times New Roman" w:eastAsia="仿宋_GB2312" w:cs="Times New Roman"/>
          <w:color w:val="000000"/>
          <w:sz w:val="22"/>
          <w:szCs w:val="22"/>
        </w:rPr>
        <w:t>各学院党委、党总支、直属党支部；</w:t>
      </w:r>
    </w:p>
    <w:p>
      <w:pPr>
        <w:pStyle w:val="4"/>
        <w:keepNext w:val="0"/>
        <w:keepLines w:val="0"/>
        <w:widowControl/>
        <w:suppressLineNumbers w:val="0"/>
        <w:spacing w:line="348" w:lineRule="atLeast"/>
        <w:ind w:left="-120" w:right="-120"/>
      </w:pPr>
      <w:r>
        <w:rPr>
          <w:rFonts w:hint="default" w:ascii="Times New Roman" w:hAnsi="Times New Roman" w:eastAsia="仿宋_GB2312" w:cs="Times New Roman"/>
          <w:color w:val="000000"/>
          <w:sz w:val="22"/>
          <w:szCs w:val="22"/>
        </w:rPr>
        <w:t>高技院、继教院、港湾学校党委；</w:t>
      </w:r>
    </w:p>
    <w:p>
      <w:pPr>
        <w:pStyle w:val="4"/>
        <w:keepNext w:val="0"/>
        <w:keepLines w:val="0"/>
        <w:widowControl/>
        <w:suppressLineNumbers w:val="0"/>
        <w:spacing w:line="348" w:lineRule="atLeast"/>
        <w:ind w:left="-120" w:right="-120"/>
      </w:pPr>
      <w:r>
        <w:rPr>
          <w:rFonts w:hint="default" w:ascii="Times New Roman" w:hAnsi="Times New Roman" w:eastAsia="仿宋_GB2312" w:cs="Times New Roman"/>
          <w:color w:val="000000"/>
          <w:sz w:val="22"/>
          <w:szCs w:val="22"/>
        </w:rPr>
        <w:t>校内各部门：</w:t>
      </w:r>
    </w:p>
    <w:p>
      <w:pPr>
        <w:pStyle w:val="4"/>
        <w:keepNext w:val="0"/>
        <w:keepLines w:val="0"/>
        <w:widowControl/>
        <w:suppressLineNumbers w:val="0"/>
        <w:spacing w:line="348" w:lineRule="atLeast"/>
        <w:ind w:left="-120" w:right="-120" w:firstLine="444"/>
      </w:pPr>
      <w:r>
        <w:rPr>
          <w:rFonts w:hint="eastAsia" w:ascii="仿宋_GB2312" w:hAnsi="Times New Roman" w:eastAsia="仿宋_GB2312" w:cs="仿宋_GB2312"/>
          <w:color w:val="333333"/>
          <w:sz w:val="22"/>
          <w:szCs w:val="22"/>
        </w:rPr>
        <w:t>现将《上海海事大学落实推进二级单位党风廉政建设责任制的实施办法（试行）》印发给你们，请遵照执行。</w:t>
      </w:r>
    </w:p>
    <w:p>
      <w:pPr>
        <w:pStyle w:val="4"/>
        <w:keepNext w:val="0"/>
        <w:keepLines w:val="0"/>
        <w:widowControl/>
        <w:suppressLineNumbers w:val="0"/>
        <w:spacing w:line="348" w:lineRule="atLeast"/>
        <w:ind w:left="-120" w:right="-120"/>
      </w:pPr>
      <w:r>
        <w:rPr>
          <w:rFonts w:hint="default" w:ascii="Times New Roman" w:hAnsi="Times New Roman" w:eastAsia="仿宋_GB2312" w:cs="Times New Roman"/>
          <w:sz w:val="22"/>
          <w:szCs w:val="22"/>
        </w:rPr>
        <w:t> </w:t>
      </w:r>
    </w:p>
    <w:p>
      <w:pPr>
        <w:pStyle w:val="4"/>
        <w:keepNext w:val="0"/>
        <w:keepLines w:val="0"/>
        <w:widowControl/>
        <w:suppressLineNumbers w:val="0"/>
        <w:spacing w:line="480" w:lineRule="atLeast"/>
        <w:ind w:left="-120" w:right="-120"/>
      </w:pPr>
      <w:r>
        <w:rPr>
          <w:rFonts w:hint="eastAsia" w:ascii="仿宋_GB2312" w:hAnsi="Times New Roman" w:eastAsia="仿宋_GB2312" w:cs="仿宋_GB2312"/>
          <w:color w:val="333333"/>
          <w:sz w:val="22"/>
          <w:szCs w:val="22"/>
        </w:rPr>
        <w:t>附件：上海海事大学落实推进二级单位党风廉政建设责任制的实施办法（试行）</w:t>
      </w:r>
    </w:p>
    <w:p>
      <w:pPr>
        <w:pStyle w:val="4"/>
        <w:keepNext w:val="0"/>
        <w:keepLines w:val="0"/>
        <w:widowControl/>
        <w:suppressLineNumbers w:val="0"/>
        <w:spacing w:line="480" w:lineRule="atLeast"/>
        <w:ind w:left="-120" w:right="-120"/>
      </w:pPr>
      <w:r>
        <w:t> </w:t>
      </w:r>
    </w:p>
    <w:p>
      <w:pPr>
        <w:pStyle w:val="4"/>
        <w:keepNext w:val="0"/>
        <w:keepLines w:val="0"/>
        <w:widowControl/>
        <w:suppressLineNumbers w:val="0"/>
        <w:spacing w:line="480" w:lineRule="atLeast"/>
        <w:ind w:left="-120" w:right="-120"/>
      </w:pPr>
      <w:r>
        <w:rPr>
          <w:rFonts w:hint="default" w:ascii="Times New Roman" w:hAnsi="Times New Roman" w:eastAsia="仿宋_GB2312" w:cs="Times New Roman"/>
          <w:color w:val="000000"/>
          <w:sz w:val="22"/>
          <w:szCs w:val="22"/>
        </w:rPr>
        <w:t>                                                       中共上海海事大学委员会</w:t>
      </w:r>
    </w:p>
    <w:p>
      <w:pPr>
        <w:pStyle w:val="4"/>
        <w:keepNext w:val="0"/>
        <w:keepLines w:val="0"/>
        <w:widowControl/>
        <w:suppressLineNumbers w:val="0"/>
        <w:spacing w:line="480" w:lineRule="atLeast"/>
        <w:ind w:left="-120" w:right="-120"/>
      </w:pPr>
      <w:r>
        <w:rPr>
          <w:rFonts w:hint="default" w:ascii="Times New Roman" w:hAnsi="Times New Roman" w:eastAsia="仿宋_GB2312" w:cs="Times New Roman"/>
          <w:color w:val="000000"/>
          <w:sz w:val="22"/>
          <w:szCs w:val="22"/>
        </w:rPr>
        <w:t xml:space="preserve">                                                              </w:t>
      </w:r>
      <w:r>
        <w:rPr>
          <w:rFonts w:hint="eastAsia" w:ascii="仿宋_GB2312" w:hAnsi="Times New Roman" w:eastAsia="仿宋_GB2312" w:cs="仿宋_GB2312"/>
          <w:color w:val="000000"/>
          <w:sz w:val="22"/>
          <w:szCs w:val="22"/>
        </w:rPr>
        <w:t xml:space="preserve">2016年4月15日  </w:t>
      </w:r>
    </w:p>
    <w:p>
      <w:pPr>
        <w:pStyle w:val="4"/>
        <w:keepNext w:val="0"/>
        <w:keepLines w:val="0"/>
        <w:widowControl/>
        <w:suppressLineNumbers w:val="0"/>
        <w:spacing w:line="396" w:lineRule="atLeast"/>
        <w:ind w:left="-120" w:right="-120"/>
      </w:pPr>
      <w:r>
        <w:rPr>
          <w:rFonts w:hint="default" w:ascii="Times New Roman" w:hAnsi="Times New Roman" w:eastAsia="仿宋_GB2312" w:cs="Times New Roman"/>
          <w:color w:val="000000"/>
          <w:sz w:val="22"/>
          <w:szCs w:val="22"/>
        </w:rPr>
        <w:t> </w:t>
      </w:r>
    </w:p>
    <w:p>
      <w:pPr>
        <w:pStyle w:val="4"/>
        <w:keepNext w:val="0"/>
        <w:keepLines w:val="0"/>
        <w:widowControl/>
        <w:suppressLineNumbers w:val="0"/>
        <w:spacing w:line="396" w:lineRule="atLeast"/>
        <w:ind w:left="-120" w:right="-120"/>
        <w:jc w:val="center"/>
      </w:pPr>
      <w:r>
        <w:rPr>
          <w:rStyle w:val="7"/>
          <w:rFonts w:hint="default" w:ascii="Times New Roman" w:hAnsi="Times New Roman" w:eastAsia="仿宋_GB2312" w:cs="Times New Roman"/>
          <w:b/>
          <w:bCs/>
          <w:sz w:val="25"/>
          <w:szCs w:val="25"/>
        </w:rPr>
        <w:t>上海海事大学落实推进</w:t>
      </w:r>
    </w:p>
    <w:p>
      <w:pPr>
        <w:pStyle w:val="4"/>
        <w:keepNext w:val="0"/>
        <w:keepLines w:val="0"/>
        <w:widowControl/>
        <w:suppressLineNumbers w:val="0"/>
        <w:spacing w:line="396" w:lineRule="atLeast"/>
        <w:ind w:left="-120" w:right="-120"/>
        <w:jc w:val="center"/>
      </w:pPr>
      <w:r>
        <w:rPr>
          <w:rStyle w:val="7"/>
          <w:rFonts w:hint="default" w:ascii="Times New Roman" w:hAnsi="Times New Roman" w:eastAsia="仿宋_GB2312" w:cs="Times New Roman"/>
          <w:b/>
          <w:bCs/>
          <w:sz w:val="25"/>
          <w:szCs w:val="25"/>
        </w:rPr>
        <w:t>二级单位党风廉政建设责任制的实施办法（试行）</w:t>
      </w:r>
    </w:p>
    <w:p>
      <w:pPr>
        <w:pStyle w:val="4"/>
        <w:keepNext w:val="0"/>
        <w:keepLines w:val="0"/>
        <w:widowControl/>
        <w:suppressLineNumbers w:val="0"/>
        <w:spacing w:line="396" w:lineRule="atLeast"/>
        <w:ind w:left="-120" w:right="-120"/>
        <w:jc w:val="center"/>
      </w:pPr>
      <w:r>
        <w:rPr>
          <w:rStyle w:val="7"/>
          <w:rFonts w:hint="default" w:ascii="Times New Roman" w:hAnsi="Times New Roman" w:eastAsia="仿宋_GB2312" w:cs="Times New Roman"/>
          <w:b/>
          <w:bCs/>
          <w:sz w:val="25"/>
          <w:szCs w:val="25"/>
        </w:rPr>
        <w:t> </w:t>
      </w:r>
    </w:p>
    <w:p>
      <w:pPr>
        <w:pStyle w:val="4"/>
        <w:keepNext w:val="0"/>
        <w:keepLines w:val="0"/>
        <w:widowControl/>
        <w:suppressLineNumbers w:val="0"/>
        <w:spacing w:line="348" w:lineRule="atLeast"/>
        <w:ind w:left="-120" w:right="-120" w:firstLine="444"/>
      </w:pPr>
      <w:r>
        <w:rPr>
          <w:rFonts w:hint="default" w:ascii="Times New Roman" w:hAnsi="Times New Roman" w:eastAsia="仿宋_GB2312" w:cs="Times New Roman"/>
          <w:color w:val="000000"/>
          <w:sz w:val="22"/>
          <w:szCs w:val="22"/>
        </w:rPr>
        <w:t>为深入贯彻落实党的十八大、十八届中央纪委五次、六次全会精神，根据《上海市教卫工作党委系统落实推进二级单位（部门）党风廉政建设责任制若干意见（试行）》（沪教卫党〔2014〕215号）和《上海海事大学贯彻落实党风廉政建设责任制的实施细则》（沪海大委〔2014〕14号）的要求，现就落实推进学校二级单位党风廉政建设责任制制定以下实施办法。</w:t>
      </w:r>
    </w:p>
    <w:p>
      <w:pPr>
        <w:pStyle w:val="4"/>
        <w:keepNext w:val="0"/>
        <w:keepLines w:val="0"/>
        <w:widowControl/>
        <w:suppressLineNumbers w:val="0"/>
        <w:spacing w:line="348" w:lineRule="atLeast"/>
        <w:ind w:left="-120" w:right="-120" w:firstLine="444"/>
      </w:pPr>
      <w:r>
        <w:rPr>
          <w:rFonts w:hint="default" w:ascii="Times New Roman" w:hAnsi="Times New Roman" w:eastAsia="仿宋_GB2312" w:cs="Times New Roman"/>
          <w:color w:val="000000"/>
          <w:sz w:val="22"/>
          <w:szCs w:val="22"/>
        </w:rPr>
        <w:t>一、加强组织领导，明确主体责任</w:t>
      </w:r>
    </w:p>
    <w:p>
      <w:pPr>
        <w:pStyle w:val="4"/>
        <w:keepNext w:val="0"/>
        <w:keepLines w:val="0"/>
        <w:widowControl/>
        <w:suppressLineNumbers w:val="0"/>
        <w:spacing w:line="348" w:lineRule="atLeast"/>
        <w:ind w:left="-120" w:right="-120" w:firstLine="444"/>
      </w:pPr>
      <w:r>
        <w:rPr>
          <w:rFonts w:hint="eastAsia" w:ascii="仿宋_GB2312" w:hAnsi="Times New Roman" w:eastAsia="仿宋_GB2312" w:cs="仿宋_GB2312"/>
          <w:color w:val="000000"/>
          <w:sz w:val="22"/>
          <w:szCs w:val="22"/>
        </w:rPr>
        <w:t>1.明确二级单位党委（或党总支、直属党支部，以下简称“二级单位党组织”）的主体责任。各二级单位党组织要以落实“三重一大”制度、加强领导干部廉洁自律和强化重点领域关键环节监督检查为重点，全面深入推进本单位的党风廉政建设和反腐败工作。要制定本单位党风廉政建设工作计划，实施党风廉政建设承诺书和责任书签订制度、党风廉政责任分工备案制度等，抓好本单位的党风廉政建设主体责任与党政领导班子成员“一岗双责”落实的有效结合，加强流程管理和过程监督。</w:t>
      </w:r>
    </w:p>
    <w:p>
      <w:pPr>
        <w:pStyle w:val="4"/>
        <w:keepNext w:val="0"/>
        <w:keepLines w:val="0"/>
        <w:widowControl/>
        <w:suppressLineNumbers w:val="0"/>
        <w:spacing w:line="348" w:lineRule="atLeast"/>
        <w:ind w:left="-120" w:right="-120" w:firstLine="444"/>
      </w:pPr>
      <w:r>
        <w:rPr>
          <w:rFonts w:hint="eastAsia" w:ascii="仿宋_GB2312" w:hAnsi="Times New Roman" w:eastAsia="仿宋_GB2312" w:cs="仿宋_GB2312"/>
          <w:color w:val="000000"/>
          <w:sz w:val="22"/>
          <w:szCs w:val="22"/>
        </w:rPr>
        <w:t>2.强化二级单位工作责任。二级单位党政领导班子要把党风廉政建设作为一项重大政治任务，与本单位中心工作同部署、同落实、同检查、同考核。要将党风廉政工作列入本单位党政联席会议重要议事日程，加强部署落实。要研究制定并认真落实党风廉政建设年度计划和责任分工，加强对责任分工落实情况的日常督查和重点项目抽查。二级单位党组织书记要统筹安排、部署落实党风廉政建设各项任务，对班子成员执行廉洁自律各项规定和落实“一岗双责”情况、对“三重一大”制度执行情况进行监督检查。每年对本单位党风廉政情况进行一次分析，开展一次党风廉政建设执行情况的检查，重大问题及时报告校党委。加强对党员干部廉洁从政教育，发现问题及时提醒并纠正。行政主要负责人要结合本部门工作实际，认真抓好教学、科研等工作中的反腐倡廉工作，建章立制，规范工作流程，加强对权力运行的制约和监督。党政领导班子其他成员要切实履行“一岗双责”，立足本人权力清单和分管工作、联系部门，结合廉政风险和群众反映强烈的突出问题，制订落实党风廉政建设责任制工作方案，抓好分工任务的推进落实。</w:t>
      </w:r>
    </w:p>
    <w:p>
      <w:pPr>
        <w:pStyle w:val="4"/>
        <w:keepNext w:val="0"/>
        <w:keepLines w:val="0"/>
        <w:widowControl/>
        <w:suppressLineNumbers w:val="0"/>
        <w:spacing w:line="348" w:lineRule="atLeast"/>
        <w:ind w:left="-120" w:right="-120" w:firstLine="444"/>
      </w:pPr>
      <w:r>
        <w:rPr>
          <w:rFonts w:hint="default" w:ascii="Times New Roman" w:hAnsi="Times New Roman" w:eastAsia="仿宋_GB2312" w:cs="Times New Roman"/>
          <w:color w:val="000000"/>
          <w:sz w:val="22"/>
          <w:szCs w:val="22"/>
        </w:rPr>
        <w:t>二、深化制度建设，严格规范监管</w:t>
      </w:r>
    </w:p>
    <w:p>
      <w:pPr>
        <w:pStyle w:val="4"/>
        <w:keepNext w:val="0"/>
        <w:keepLines w:val="0"/>
        <w:widowControl/>
        <w:suppressLineNumbers w:val="0"/>
        <w:spacing w:line="348" w:lineRule="atLeast"/>
        <w:ind w:left="-120" w:right="-120" w:firstLine="444"/>
      </w:pPr>
      <w:r>
        <w:rPr>
          <w:rFonts w:hint="eastAsia" w:ascii="仿宋_GB2312" w:hAnsi="Times New Roman" w:eastAsia="仿宋_GB2312" w:cs="仿宋_GB2312"/>
          <w:color w:val="000000"/>
          <w:sz w:val="22"/>
          <w:szCs w:val="22"/>
        </w:rPr>
        <w:t>3.坚持“三重一大”集体决策制度。二级单位要坚持民主集中制原则，建立健全并严格执行“三重一大”问题须经党政联席会议集体决定的制度。完善决策规划和决策程序，严格执行会议纪要制度，做好会议记录，保证内容真实全面，存档备查。强化决策前的论证、决策中的充分讨论和表决、决策后的执行督查、责任追究等工作。严格执行回避、决策公开与查询、决策报告等制度，健全纠错改正机制。对于专业性较强的重要事项，应经过本单位相关专业委员会咨询论证；对于事关本单位发展的重大问题和涉及群众利益的重要事项，在决策前应通过党组织、教代会和教授委员会等途径，广泛听取群众意见。</w:t>
      </w:r>
    </w:p>
    <w:p>
      <w:pPr>
        <w:pStyle w:val="4"/>
        <w:keepNext w:val="0"/>
        <w:keepLines w:val="0"/>
        <w:widowControl/>
        <w:suppressLineNumbers w:val="0"/>
        <w:spacing w:line="348" w:lineRule="atLeast"/>
        <w:ind w:left="-120" w:right="-120" w:firstLine="444"/>
      </w:pPr>
      <w:r>
        <w:rPr>
          <w:rFonts w:hint="eastAsia" w:ascii="仿宋_GB2312" w:hAnsi="Times New Roman" w:eastAsia="仿宋_GB2312" w:cs="仿宋_GB2312"/>
          <w:color w:val="000000"/>
          <w:sz w:val="22"/>
          <w:szCs w:val="22"/>
        </w:rPr>
        <w:t>4.执行廉洁自律各项规定。严格遵守《中国共产党廉洁自律准则》、《中国共产党纪律处分条例》等纪律规定，坚决贯彻落实中央八项规定精神,遵守党员领导干部廉洁从政有关规定。严禁违规兼职及兼职取酬、违规领取奖金和津贴、违规收受礼金礼品、出入私人会所等行为，进一步规范领导干部在科研、学术活动、职称评审、会议考察、公务接待、公务用车、办公用房、国内差旅和因公临时出国(境)、招生等方面的行为和相关审批程序。严格执行领导干部个人有关事项报告、民主生活会、述职述廉、民主评议和领导干部上岗前廉政谈话等制度。学校党委一步加强对领导干部遵守党的政治纪律、组织纪律、廉洁纪律、群众纪律、工作纪律、生活纪律等情况的监督。</w:t>
      </w:r>
    </w:p>
    <w:p>
      <w:pPr>
        <w:pStyle w:val="4"/>
        <w:keepNext w:val="0"/>
        <w:keepLines w:val="0"/>
        <w:widowControl/>
        <w:suppressLineNumbers w:val="0"/>
        <w:spacing w:line="348" w:lineRule="atLeast"/>
        <w:ind w:left="-120" w:right="-120" w:firstLine="444"/>
      </w:pPr>
      <w:r>
        <w:rPr>
          <w:rFonts w:hint="eastAsia" w:ascii="仿宋_GB2312" w:hAnsi="Times New Roman" w:eastAsia="仿宋_GB2312" w:cs="仿宋_GB2312"/>
          <w:color w:val="000000"/>
          <w:sz w:val="22"/>
          <w:szCs w:val="22"/>
        </w:rPr>
        <w:t>5.健全干部人事监管制度。学校加大对人财物等权力集中的重点部门负责人的定期轮岗交流。二级单位要坚持民主、公开、竞争、择优原则，建立健全科级及以下岗位评聘制度、聘任机制及工作流程。加强对二级单位负责的教职员工招聘环节的监督管理，严格规范外聘教授评聘行为。建立完善二级单位分配制度，细化工作规范和程序，加强内容、过程公开。</w:t>
      </w:r>
    </w:p>
    <w:p>
      <w:pPr>
        <w:pStyle w:val="4"/>
        <w:keepNext w:val="0"/>
        <w:keepLines w:val="0"/>
        <w:widowControl/>
        <w:suppressLineNumbers w:val="0"/>
        <w:spacing w:line="348" w:lineRule="atLeast"/>
        <w:ind w:left="-120" w:right="-120" w:firstLine="444"/>
      </w:pPr>
      <w:r>
        <w:rPr>
          <w:rFonts w:hint="eastAsia" w:ascii="仿宋_GB2312" w:hAnsi="Times New Roman" w:eastAsia="仿宋_GB2312" w:cs="仿宋_GB2312"/>
          <w:color w:val="000000"/>
          <w:sz w:val="22"/>
          <w:szCs w:val="22"/>
        </w:rPr>
        <w:t>6.严格执行财务、采购和固定资产监管制度。二级单位要严格执行学校财务制度、公务卡制度和财务信息公开制度，抓好“三公”经费、会议费、培训费等预算管理，严禁“小金库”，切实严肃财经纪律。严格执行学校物资采购制度，规范物资采购行为。严格执行学校国有资产管理规定，强化过程监管，严格报批程序，防止国有资产流失。</w:t>
      </w:r>
    </w:p>
    <w:p>
      <w:pPr>
        <w:pStyle w:val="4"/>
        <w:keepNext w:val="0"/>
        <w:keepLines w:val="0"/>
        <w:widowControl/>
        <w:suppressLineNumbers w:val="0"/>
        <w:spacing w:line="348" w:lineRule="atLeast"/>
        <w:ind w:left="-120" w:right="-120" w:firstLine="444"/>
      </w:pPr>
      <w:r>
        <w:rPr>
          <w:rFonts w:hint="eastAsia" w:ascii="仿宋_GB2312" w:hAnsi="Times New Roman" w:eastAsia="仿宋_GB2312" w:cs="仿宋_GB2312"/>
          <w:color w:val="000000"/>
          <w:sz w:val="22"/>
          <w:szCs w:val="22"/>
        </w:rPr>
        <w:t>7.落实科研经费监管制度。二级单位要严格执行学校有关科研项目管理办法和科研经费报销办法有等相关规定，指导科研人员科学编制科研经费预算，合理配置相关资源，为科研项目提供服务保障。加强对科研项目负责人和科研人员的相关法律法规教育和案例警示教育。</w:t>
      </w:r>
    </w:p>
    <w:p>
      <w:pPr>
        <w:pStyle w:val="4"/>
        <w:keepNext w:val="0"/>
        <w:keepLines w:val="0"/>
        <w:widowControl/>
        <w:suppressLineNumbers w:val="0"/>
        <w:spacing w:line="348" w:lineRule="atLeast"/>
        <w:ind w:left="-120" w:right="-120" w:firstLine="444"/>
      </w:pPr>
      <w:r>
        <w:rPr>
          <w:rFonts w:hint="eastAsia" w:ascii="仿宋_GB2312" w:hAnsi="Times New Roman" w:eastAsia="仿宋_GB2312" w:cs="仿宋_GB2312"/>
          <w:color w:val="000000"/>
          <w:sz w:val="22"/>
          <w:szCs w:val="22"/>
        </w:rPr>
        <w:t>8.严肃规范学术行为。本着学术研究无禁区、课堂教授有纪律、成果发表守规范的原则，执行有关办学导向和学术诚信的法规和纪律，规范学术权力和行政权力的行使。充分发挥学术专业委员会等机构的作用，形成有效的学术管理工作机制，整治学术不正之风。</w:t>
      </w:r>
    </w:p>
    <w:p>
      <w:pPr>
        <w:pStyle w:val="4"/>
        <w:keepNext w:val="0"/>
        <w:keepLines w:val="0"/>
        <w:widowControl/>
        <w:suppressLineNumbers w:val="0"/>
        <w:spacing w:line="348" w:lineRule="atLeast"/>
        <w:ind w:left="-120" w:right="-120" w:firstLine="444"/>
      </w:pPr>
      <w:r>
        <w:rPr>
          <w:rFonts w:hint="eastAsia" w:ascii="仿宋_GB2312" w:hAnsi="Times New Roman" w:eastAsia="仿宋_GB2312" w:cs="仿宋_GB2312"/>
          <w:color w:val="000000"/>
          <w:sz w:val="22"/>
          <w:szCs w:val="22"/>
        </w:rPr>
        <w:t>9.严格出国（境）管理。严格执行学校有关领导干部因公因私出国（境）的管理制度，因私出国（境）审批、报备及护照等证件由学校组织部门集中管理制度，严格规范二级单位领导干部出国(境)行为。</w:t>
      </w:r>
    </w:p>
    <w:p>
      <w:pPr>
        <w:pStyle w:val="4"/>
        <w:keepNext w:val="0"/>
        <w:keepLines w:val="0"/>
        <w:widowControl/>
        <w:suppressLineNumbers w:val="0"/>
        <w:spacing w:line="348" w:lineRule="atLeast"/>
        <w:ind w:left="-120" w:right="-120" w:firstLine="444"/>
      </w:pPr>
      <w:r>
        <w:rPr>
          <w:rFonts w:hint="eastAsia" w:ascii="仿宋_GB2312" w:hAnsi="Times New Roman" w:eastAsia="仿宋_GB2312" w:cs="仿宋_GB2312"/>
          <w:color w:val="000000"/>
          <w:sz w:val="22"/>
          <w:szCs w:val="22"/>
        </w:rPr>
        <w:t>10.规范招生录取监管制度。二级单位要建立完善并严格执行学校招生录取的政策规定，实施招生考试阳光工程，落实阳光招生“十公开”。重点落实二级院系参与的研究生和特殊类型（</w:t>
      </w:r>
      <w:r>
        <w:rPr>
          <w:rFonts w:hint="eastAsia" w:ascii="仿宋_GB2312" w:hAnsi="Times New Roman" w:eastAsia="仿宋_GB2312" w:cs="仿宋_GB2312"/>
          <w:sz w:val="22"/>
          <w:szCs w:val="22"/>
        </w:rPr>
        <w:t>春季招生、高水平运动员、艺术类特长生、专升本、插班生</w:t>
      </w:r>
      <w:r>
        <w:rPr>
          <w:rFonts w:hint="eastAsia" w:ascii="仿宋_GB2312" w:hAnsi="Times New Roman" w:eastAsia="仿宋_GB2312" w:cs="仿宋_GB2312"/>
          <w:color w:val="000000"/>
          <w:sz w:val="22"/>
          <w:szCs w:val="22"/>
        </w:rPr>
        <w:t>）招考录取工作环节（考试、面试、录取等环节）的管理和监督，规范工作流程，防止暗箱操作，保证公平公正。</w:t>
      </w:r>
    </w:p>
    <w:p>
      <w:pPr>
        <w:pStyle w:val="4"/>
        <w:keepNext w:val="0"/>
        <w:keepLines w:val="0"/>
        <w:widowControl/>
        <w:suppressLineNumbers w:val="0"/>
        <w:spacing w:line="348" w:lineRule="atLeast"/>
        <w:ind w:left="-120" w:right="-120" w:firstLine="444"/>
      </w:pPr>
      <w:r>
        <w:rPr>
          <w:rFonts w:hint="eastAsia" w:ascii="仿宋_GB2312" w:hAnsi="Times New Roman" w:eastAsia="仿宋_GB2312" w:cs="仿宋_GB2312"/>
          <w:color w:val="000000"/>
          <w:sz w:val="22"/>
          <w:szCs w:val="22"/>
        </w:rPr>
        <w:t>11.严禁违规合作办学、办企行为。未经学校同意严禁以学校二级单位名义自行举办或与外单位合作举办非学历教育,严禁二级单位及领导干部违规与外单位合作经商办企业或进行其他经营活动。</w:t>
      </w:r>
    </w:p>
    <w:p>
      <w:pPr>
        <w:pStyle w:val="4"/>
        <w:keepNext w:val="0"/>
        <w:keepLines w:val="0"/>
        <w:widowControl/>
        <w:suppressLineNumbers w:val="0"/>
        <w:spacing w:line="348" w:lineRule="atLeast"/>
        <w:ind w:left="-120" w:right="-120" w:firstLine="444"/>
      </w:pPr>
      <w:r>
        <w:rPr>
          <w:rFonts w:hint="eastAsia" w:ascii="仿宋_GB2312" w:hAnsi="Times New Roman" w:eastAsia="仿宋_GB2312" w:cs="仿宋_GB2312"/>
          <w:color w:val="000000"/>
          <w:sz w:val="22"/>
          <w:szCs w:val="22"/>
        </w:rPr>
        <w:t>12.深入推进师德师风建设。二级单位要加强师德师风建设，督促教职工遵守师德准则，坚守精神家园，坚守人格底线，成为有理想信念、有道德情操、有扎实学识、有仁爱之心的教师。进一步规范教育收费工作，加强对二级单位涉及办班收费的管理和监督，严禁违规收费行为。</w:t>
      </w:r>
    </w:p>
    <w:p>
      <w:pPr>
        <w:pStyle w:val="4"/>
        <w:keepNext w:val="0"/>
        <w:keepLines w:val="0"/>
        <w:widowControl/>
        <w:suppressLineNumbers w:val="0"/>
        <w:spacing w:line="348" w:lineRule="atLeast"/>
        <w:ind w:left="-120" w:right="-120" w:firstLine="444"/>
      </w:pPr>
      <w:r>
        <w:rPr>
          <w:rFonts w:hint="default" w:ascii="Times New Roman" w:hAnsi="Times New Roman" w:eastAsia="仿宋_GB2312" w:cs="Times New Roman"/>
          <w:color w:val="000000"/>
          <w:sz w:val="22"/>
          <w:szCs w:val="22"/>
        </w:rPr>
        <w:t>三、突出思想教育，构筑思想防线</w:t>
      </w:r>
    </w:p>
    <w:p>
      <w:pPr>
        <w:pStyle w:val="4"/>
        <w:keepNext w:val="0"/>
        <w:keepLines w:val="0"/>
        <w:widowControl/>
        <w:suppressLineNumbers w:val="0"/>
        <w:spacing w:line="348" w:lineRule="atLeast"/>
        <w:ind w:left="-120" w:right="-120" w:firstLine="444"/>
      </w:pPr>
      <w:r>
        <w:rPr>
          <w:rFonts w:hint="eastAsia" w:ascii="仿宋_GB2312" w:hAnsi="Times New Roman" w:eastAsia="仿宋_GB2312" w:cs="仿宋_GB2312"/>
          <w:color w:val="000000"/>
          <w:sz w:val="22"/>
          <w:szCs w:val="22"/>
        </w:rPr>
        <w:t>13.加强反腐倡廉教育。二级单位要强化对干部和教师的党纪国法、廉政法规、师德师风教育，通过中心组学习、廉政培训、廉政党课、案例警示和廉政谈话等多种形式，建立健全常态化教育机制，加强对干部和教师苗头性问题的教育提醒，纠正“四风”突出问题。加强对重点岗位工作人员的廉政教育、对教师和科研人员的师德师风教育和对大学生的廉洁诚信教育。</w:t>
      </w:r>
    </w:p>
    <w:p>
      <w:pPr>
        <w:pStyle w:val="4"/>
        <w:keepNext w:val="0"/>
        <w:keepLines w:val="0"/>
        <w:widowControl/>
        <w:suppressLineNumbers w:val="0"/>
        <w:spacing w:line="348" w:lineRule="atLeast"/>
        <w:ind w:left="-120" w:right="-120" w:firstLine="444"/>
      </w:pPr>
      <w:r>
        <w:rPr>
          <w:rFonts w:hint="eastAsia" w:ascii="仿宋_GB2312" w:hAnsi="Times New Roman" w:eastAsia="仿宋_GB2312" w:cs="仿宋_GB2312"/>
          <w:color w:val="000000"/>
          <w:sz w:val="22"/>
          <w:szCs w:val="22"/>
        </w:rPr>
        <w:t>14.加强廉政文化建设。充分利用二级单位优秀传统文化和廉政文化资源，组织开展多形式的廉洁文化创建活动，弘扬正气，激浊扬清，努力营造崇廉尚洁的文化氛围，结合教育部《关于建立健全高校师德建设长效机制的意见》要求，大力加强和改进师德建设，深入推进“廉洁文化进校园”活动。</w:t>
      </w:r>
    </w:p>
    <w:p>
      <w:pPr>
        <w:pStyle w:val="4"/>
        <w:keepNext w:val="0"/>
        <w:keepLines w:val="0"/>
        <w:widowControl/>
        <w:suppressLineNumbers w:val="0"/>
        <w:spacing w:line="348" w:lineRule="atLeast"/>
        <w:ind w:left="-120" w:right="-120" w:firstLine="444"/>
      </w:pPr>
      <w:r>
        <w:rPr>
          <w:rFonts w:hint="eastAsia" w:ascii="仿宋_GB2312" w:hAnsi="Times New Roman" w:eastAsia="仿宋_GB2312" w:cs="仿宋_GB2312"/>
          <w:color w:val="000000"/>
          <w:sz w:val="22"/>
          <w:szCs w:val="22"/>
        </w:rPr>
        <w:t>15.完善宣教工作统筹协调机制。学校把党风廉政建设和反腐败宣传教育工作纳入宣传教育工作总体部署和年度安排。加强对二级单位宣传教育工作的指导和检查。学校领导班子成员要按照“一岗双责”要求，抓好联系或分管的二级单位的党风廉政工作,每半年分析一次分管部门的党风廉政工作，听取分管部门主要负责人对部门经费使用情况的汇报，并对工作进行指导，每年参加分管部门和联系单位的民主生活会，至少为分管部门和联系单位上一次党风廉政专题党课或作一次廉政报告，至少与分管部门和联系单位的主要负责人谈心一次，至少听取分管部门和联系单位党风廉政建设情况汇报两次。</w:t>
      </w:r>
    </w:p>
    <w:p>
      <w:pPr>
        <w:pStyle w:val="4"/>
        <w:keepNext w:val="0"/>
        <w:keepLines w:val="0"/>
        <w:widowControl/>
        <w:suppressLineNumbers w:val="0"/>
        <w:spacing w:line="348" w:lineRule="atLeast"/>
        <w:ind w:left="-120" w:right="-120" w:firstLine="444"/>
      </w:pPr>
      <w:r>
        <w:rPr>
          <w:rFonts w:hint="default" w:ascii="Times New Roman" w:hAnsi="Times New Roman" w:eastAsia="仿宋_GB2312" w:cs="Times New Roman"/>
          <w:color w:val="000000"/>
          <w:sz w:val="22"/>
          <w:szCs w:val="22"/>
        </w:rPr>
        <w:t>四、完善监督机制和保障机制</w:t>
      </w:r>
    </w:p>
    <w:p>
      <w:pPr>
        <w:pStyle w:val="4"/>
        <w:keepNext w:val="0"/>
        <w:keepLines w:val="0"/>
        <w:widowControl/>
        <w:suppressLineNumbers w:val="0"/>
        <w:spacing w:line="348" w:lineRule="atLeast"/>
        <w:ind w:left="-120" w:right="-120" w:firstLine="444"/>
      </w:pPr>
      <w:r>
        <w:rPr>
          <w:rFonts w:hint="eastAsia" w:ascii="仿宋_GB2312" w:hAnsi="Times New Roman" w:eastAsia="仿宋_GB2312" w:cs="仿宋_GB2312"/>
          <w:color w:val="000000"/>
          <w:sz w:val="22"/>
          <w:szCs w:val="22"/>
        </w:rPr>
        <w:t>16.加强纪委监督责任。学校纪委协助学校党委落实主体责任，促进党风廉政建设各项任务落实。每年要对二级单位落实党风廉政建设责任制的情况进行考核，推进责任制的落实。建立实施二级单位反腐倡廉建设情况、党风廉政责任分工情况及重大事项向学校纪委报备制度。</w:t>
      </w:r>
    </w:p>
    <w:p>
      <w:pPr>
        <w:pStyle w:val="4"/>
        <w:keepNext w:val="0"/>
        <w:keepLines w:val="0"/>
        <w:widowControl/>
        <w:suppressLineNumbers w:val="0"/>
        <w:spacing w:line="348" w:lineRule="atLeast"/>
        <w:ind w:left="-120" w:right="-120" w:firstLine="444"/>
      </w:pPr>
      <w:r>
        <w:rPr>
          <w:rFonts w:hint="eastAsia" w:ascii="仿宋_GB2312" w:hAnsi="Times New Roman" w:eastAsia="仿宋_GB2312" w:cs="仿宋_GB2312"/>
          <w:color w:val="000000"/>
          <w:sz w:val="22"/>
          <w:szCs w:val="22"/>
        </w:rPr>
        <w:t>17.设立二级单位纪检委员（部分单位设纪委书记）。二级单位纪检委员在本单位党组织领导下开展工作，协助党组织书记开展党风廉政建设相关工作。二级单位纪检委员在业务上接受学校纪委的指导，定期向校纪委报告本单位党风廉政建设工作情况。</w:t>
      </w:r>
    </w:p>
    <w:p>
      <w:pPr>
        <w:pStyle w:val="4"/>
        <w:keepNext w:val="0"/>
        <w:keepLines w:val="0"/>
        <w:widowControl/>
        <w:suppressLineNumbers w:val="0"/>
        <w:spacing w:line="348" w:lineRule="atLeast"/>
        <w:ind w:left="-120" w:right="-120" w:firstLine="444"/>
      </w:pPr>
      <w:r>
        <w:rPr>
          <w:rFonts w:hint="eastAsia" w:ascii="仿宋_GB2312" w:hAnsi="Times New Roman" w:eastAsia="仿宋_GB2312" w:cs="仿宋_GB2312"/>
          <w:color w:val="000000"/>
          <w:sz w:val="22"/>
          <w:szCs w:val="22"/>
        </w:rPr>
        <w:t>18.把握监督重点。学校加强对二级单位领导干部特别是主要领导干部以及人、财、物管理使用等关键岗位的监督。要认真落实民主生活会、述职述廉、谈话提醒、诫勉谈话、函询等制度，增强党内监督实效，以党内监督带动各方面监督。要加强对重大事项的事前、事中、事后的全程监督，切实增强监督的有效性。</w:t>
      </w:r>
    </w:p>
    <w:p>
      <w:pPr>
        <w:pStyle w:val="4"/>
        <w:keepNext w:val="0"/>
        <w:keepLines w:val="0"/>
        <w:widowControl/>
        <w:suppressLineNumbers w:val="0"/>
        <w:spacing w:line="348" w:lineRule="atLeast"/>
        <w:ind w:left="-120" w:right="-120" w:firstLine="444"/>
      </w:pPr>
      <w:r>
        <w:rPr>
          <w:rFonts w:hint="eastAsia" w:ascii="仿宋_GB2312" w:hAnsi="Times New Roman" w:eastAsia="仿宋_GB2312" w:cs="仿宋_GB2312"/>
          <w:color w:val="000000"/>
          <w:sz w:val="22"/>
          <w:szCs w:val="22"/>
        </w:rPr>
        <w:t>19.健全民主监督机制。二级单位要以深化党务公开、院务公开为重点，畅通公开渠道，提高权力运行的透明度和公信度。强化二级单位教代会民主监督，严格执行重大事项向教代会报告制度，坚持绩效工资分配、聘用聘任等办法必须经教代会审议通过后再实施的制度，财务收支、选拔招聘、物资采购等情况须在一定范围内公开。</w:t>
      </w:r>
    </w:p>
    <w:p>
      <w:pPr>
        <w:pStyle w:val="4"/>
        <w:keepNext w:val="0"/>
        <w:keepLines w:val="0"/>
        <w:widowControl/>
        <w:suppressLineNumbers w:val="0"/>
        <w:spacing w:line="348" w:lineRule="atLeast"/>
        <w:ind w:left="-120" w:right="-120" w:firstLine="444"/>
      </w:pPr>
      <w:r>
        <w:rPr>
          <w:rFonts w:hint="eastAsia" w:ascii="仿宋_GB2312" w:hAnsi="Times New Roman" w:eastAsia="仿宋_GB2312" w:cs="仿宋_GB2312"/>
          <w:color w:val="000000"/>
          <w:sz w:val="22"/>
          <w:szCs w:val="22"/>
        </w:rPr>
        <w:t>20.加强审计监督。学校充分发挥审计监督作用，加强对二级单位领导干部进行经济责任审计，监督审计中发现问题的整改落实情况。加大审计结果的运用，作为领导干部考核考察、奖惩任免和日常管理的重要依据。</w:t>
      </w:r>
    </w:p>
    <w:p>
      <w:pPr>
        <w:pStyle w:val="4"/>
        <w:keepNext w:val="0"/>
        <w:keepLines w:val="0"/>
        <w:widowControl/>
        <w:suppressLineNumbers w:val="0"/>
        <w:spacing w:line="348" w:lineRule="atLeast"/>
        <w:ind w:left="-120" w:right="-120" w:firstLine="444"/>
      </w:pPr>
      <w:r>
        <w:rPr>
          <w:rFonts w:hint="eastAsia" w:ascii="仿宋_GB2312" w:hAnsi="Times New Roman" w:eastAsia="仿宋_GB2312" w:cs="仿宋_GB2312"/>
          <w:color w:val="000000"/>
          <w:sz w:val="22"/>
          <w:szCs w:val="22"/>
        </w:rPr>
        <w:t>21.强化查信办案和责任追究。校纪委加大日常监督和专项监督力度，进一步完善对二级单位的监督制度和工作机制。加强信访举报查处，完善查信办案工作机制，重点查处发生在二级单位领导干部中的贪污贿赂、以权谋私、腐化堕落、失职渎职案件和损害群众利益、违反中央八项规定精神的问题，严肃查办财务、招生录取、科研经费、学术诚信、物资采购、基建修缮工程、校办企业等重点领域的信访举报和违纪行为。加强警示教育，充分发挥查办案件的综合治本功能。学校党委建立由纪检、监察、组织、人事、审计、财务等部门参加的责任追究协调机制，严格按照干部管理权限实施责任追究。</w:t>
      </w:r>
    </w:p>
    <w:p>
      <w:pPr>
        <w:pStyle w:val="4"/>
        <w:keepNext w:val="0"/>
        <w:keepLines w:val="0"/>
        <w:widowControl/>
        <w:suppressLineNumbers w:val="0"/>
        <w:spacing w:line="348" w:lineRule="atLeast"/>
        <w:ind w:left="-120" w:right="-120" w:firstLine="444"/>
      </w:pPr>
      <w:r>
        <w:rPr>
          <w:rFonts w:hint="default" w:ascii="Times New Roman" w:hAnsi="Times New Roman" w:eastAsia="仿宋_GB2312" w:cs="Times New Roman"/>
          <w:sz w:val="22"/>
          <w:szCs w:val="22"/>
        </w:rPr>
        <w:t> </w:t>
      </w:r>
    </w:p>
    <w:p>
      <w:pPr>
        <w:pStyle w:val="4"/>
        <w:keepNext w:val="0"/>
        <w:keepLines w:val="0"/>
        <w:widowControl/>
        <w:suppressLineNumbers w:val="0"/>
        <w:spacing w:line="348" w:lineRule="atLeast"/>
        <w:ind w:left="-120" w:right="-120" w:firstLine="444"/>
      </w:pPr>
      <w:r>
        <w:rPr>
          <w:rFonts w:hint="default" w:ascii="Times New Roman" w:hAnsi="Times New Roman" w:eastAsia="仿宋_GB2312" w:cs="Times New Roman"/>
          <w:sz w:val="22"/>
          <w:szCs w:val="22"/>
        </w:rPr>
        <w:t> </w:t>
      </w:r>
      <w:r>
        <w:rPr>
          <w:rFonts w:hint="default" w:ascii="Times New Roman" w:hAnsi="Times New Roman" w:eastAsia="仿宋_GB2312" w:cs="Times New Roman"/>
          <w:color w:val="000000"/>
          <w:sz w:val="22"/>
          <w:szCs w:val="22"/>
        </w:rPr>
        <w:t> </w:t>
      </w:r>
    </w:p>
    <w:p>
      <w:pPr>
        <w:pStyle w:val="4"/>
        <w:keepNext w:val="0"/>
        <w:keepLines w:val="0"/>
        <w:widowControl/>
        <w:suppressLineNumbers w:val="0"/>
        <w:spacing w:line="192" w:lineRule="atLeast"/>
        <w:ind w:left="-120" w:right="-120" w:firstLine="228"/>
      </w:pPr>
      <w:r>
        <w:rPr>
          <w:rFonts w:hint="default" w:ascii="Times New Roman" w:hAnsi="Times New Roman" w:eastAsia="仿宋_GB2312" w:cs="Times New Roman"/>
          <w:sz w:val="22"/>
          <w:szCs w:val="22"/>
        </w:rPr>
        <w:t> </w:t>
      </w:r>
    </w:p>
    <w:p>
      <w:pPr>
        <w:pStyle w:val="4"/>
        <w:keepNext w:val="0"/>
        <w:keepLines w:val="0"/>
        <w:widowControl/>
        <w:suppressLineNumbers w:val="0"/>
        <w:ind w:left="-120" w:right="-120"/>
      </w:pPr>
      <w:r>
        <w:t> </w:t>
      </w:r>
    </w:p>
    <w:p>
      <w:pPr>
        <w:pStyle w:val="4"/>
        <w:keepNext w:val="0"/>
        <w:keepLines w:val="0"/>
        <w:widowControl/>
        <w:suppressLineNumbers w:val="0"/>
        <w:spacing w:line="192" w:lineRule="atLeast"/>
        <w:ind w:left="-120" w:right="-120" w:firstLine="228"/>
      </w:pPr>
      <w:r>
        <w:rPr>
          <w:rFonts w:hint="eastAsia" w:ascii="仿宋_GB2312" w:hAnsi="Times New Roman" w:eastAsia="仿宋_GB2312" w:cs="仿宋_GB2312"/>
          <w:sz w:val="22"/>
          <w:szCs w:val="22"/>
          <w:u w:val="single"/>
        </w:rPr>
        <w:t>中共上海海事大学委员会办公室         2016年4月15日印发</w:t>
      </w:r>
      <w:r>
        <w:rPr>
          <w:rFonts w:hint="eastAsia" w:ascii="仿宋_GB2312" w:hAnsi="Times New Roman" w:eastAsia="仿宋_GB2312" w:cs="仿宋_GB2312"/>
          <w:color w:val="000000"/>
          <w:sz w:val="22"/>
          <w:szCs w:val="22"/>
        </w:rPr>
        <w:t> </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athericons">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spacing w:before="72" w:beforeLines="30" w:after="144" w:afterLines="60" w:line="240" w:lineRule="atLeast"/>
      <w:ind w:firstLine="360" w:firstLineChars="200"/>
      <w:jc w:val="center"/>
      <w:rPr>
        <w:rFonts w:ascii="Calibri" w:hAnsi="Calibri" w:eastAsia="宋体" w:cs="Times New Roman"/>
        <w:kern w:val="2"/>
        <w:sz w:val="24"/>
        <w:szCs w:val="24"/>
        <w:lang w:val="en-US" w:eastAsia="zh-CN" w:bidi="ar-SA"/>
      </w:rPr>
    </w:pPr>
    <w:bookmarkStart w:id="0" w:name="_GoBack"/>
    <w:r>
      <w:rPr>
        <w:rFonts w:hint="eastAsia" w:ascii="华文中宋" w:hAnsi="华文中宋" w:eastAsia="华文中宋" w:cs="Times New Roman"/>
        <w:b/>
        <w:kern w:val="2"/>
        <w:sz w:val="18"/>
        <w:szCs w:val="21"/>
        <w:lang w:val="en-US" w:eastAsia="zh-CN" w:bidi="ar-SA"/>
      </w:rPr>
      <w:drawing>
        <wp:anchor distT="0" distB="0" distL="114300" distR="114300" simplePos="0" relativeHeight="251659264" behindDoc="1" locked="0" layoutInCell="1" allowOverlap="1">
          <wp:simplePos x="0" y="0"/>
          <wp:positionH relativeFrom="column">
            <wp:posOffset>11430</wp:posOffset>
          </wp:positionH>
          <wp:positionV relativeFrom="paragraph">
            <wp:posOffset>73025</wp:posOffset>
          </wp:positionV>
          <wp:extent cx="1268095" cy="228600"/>
          <wp:effectExtent l="0" t="0" r="12065" b="0"/>
          <wp:wrapTight wrapText="bothSides">
            <wp:wrapPolygon>
              <wp:start x="0" y="0"/>
              <wp:lineTo x="0" y="20160"/>
              <wp:lineTo x="21286" y="20160"/>
              <wp:lineTo x="21286" y="0"/>
              <wp:lineTo x="0" y="0"/>
            </wp:wrapPolygon>
          </wp:wrapTight>
          <wp:docPr id="2"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
                  <pic:cNvPicPr>
                    <a:picLocks noChangeAspect="1"/>
                  </pic:cNvPicPr>
                </pic:nvPicPr>
                <pic:blipFill>
                  <a:blip r:embed="rId1"/>
                  <a:stretch>
                    <a:fillRect/>
                  </a:stretch>
                </pic:blipFill>
                <pic:spPr>
                  <a:xfrm>
                    <a:off x="0" y="0"/>
                    <a:ext cx="1268095" cy="228600"/>
                  </a:xfrm>
                  <a:prstGeom prst="rect">
                    <a:avLst/>
                  </a:prstGeom>
                  <a:noFill/>
                  <a:ln>
                    <a:noFill/>
                  </a:ln>
                </pic:spPr>
              </pic:pic>
            </a:graphicData>
          </a:graphic>
        </wp:anchor>
      </w:drawing>
    </w:r>
    <w:bookmarkEnd w:id="0"/>
    <w:r>
      <w:rPr>
        <w:rFonts w:hint="eastAsia" w:ascii="华文中宋" w:hAnsi="华文中宋" w:eastAsia="华文中宋" w:cs="Times New Roman"/>
        <w:b/>
        <w:kern w:val="2"/>
        <w:sz w:val="21"/>
        <w:szCs w:val="21"/>
        <w:lang w:val="en-US" w:eastAsia="zh-CN" w:bidi="ar-SA"/>
      </w:rPr>
      <w:t xml:space="preserve">                  </w:t>
    </w:r>
    <w:r>
      <w:rPr>
        <w:rFonts w:hint="eastAsia" w:ascii="华文中宋" w:hAnsi="华文中宋" w:eastAsia="华文中宋" w:cs="Times New Roman"/>
        <w:b/>
        <w:kern w:val="2"/>
        <w:sz w:val="24"/>
        <w:szCs w:val="24"/>
        <w:lang w:val="en-US" w:eastAsia="zh-CN" w:bidi="ar-SA"/>
      </w:rPr>
      <w:t>上海市高校文明校园创建材料</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0MjllNTY3MDFkOWEzYmUwNDEwM2UwZDViMTJmMGIifQ=="/>
  </w:docVars>
  <w:rsids>
    <w:rsidRoot w:val="00000000"/>
    <w:rsid w:val="01253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uiPriority w:val="0"/>
    <w:rPr>
      <w:color w:val="0055B0"/>
      <w:u w:val="none"/>
    </w:rPr>
  </w:style>
  <w:style w:type="character" w:styleId="9">
    <w:name w:val="HTML Definition"/>
    <w:basedOn w:val="6"/>
    <w:uiPriority w:val="0"/>
    <w:rPr>
      <w:i/>
      <w:iCs/>
    </w:rPr>
  </w:style>
  <w:style w:type="character" w:styleId="10">
    <w:name w:val="Hyperlink"/>
    <w:basedOn w:val="6"/>
    <w:uiPriority w:val="0"/>
    <w:rPr>
      <w:color w:val="0055B0"/>
      <w:u w:val="none"/>
    </w:rPr>
  </w:style>
  <w:style w:type="character" w:styleId="11">
    <w:name w:val="HTML Code"/>
    <w:basedOn w:val="6"/>
    <w:uiPriority w:val="0"/>
    <w:rPr>
      <w:rFonts w:ascii="Consolas" w:hAnsi="Consolas" w:eastAsia="Consolas" w:cs="Consolas"/>
      <w:color w:val="C7254E"/>
      <w:sz w:val="21"/>
      <w:szCs w:val="21"/>
      <w:bdr w:val="none" w:color="auto" w:sz="0" w:space="0"/>
      <w:shd w:val="clear" w:fill="F9F2F4"/>
    </w:rPr>
  </w:style>
  <w:style w:type="character" w:styleId="12">
    <w:name w:val="HTML Keyboard"/>
    <w:basedOn w:val="6"/>
    <w:uiPriority w:val="0"/>
    <w:rPr>
      <w:rFonts w:hint="default" w:ascii="Consolas" w:hAnsi="Consolas" w:eastAsia="Consolas" w:cs="Consolas"/>
      <w:color w:val="FFFFFF"/>
      <w:sz w:val="21"/>
      <w:szCs w:val="21"/>
      <w:bdr w:val="none" w:color="auto" w:sz="0" w:space="0"/>
      <w:shd w:val="clear" w:fill="333333"/>
    </w:rPr>
  </w:style>
  <w:style w:type="character" w:styleId="13">
    <w:name w:val="HTML Sample"/>
    <w:basedOn w:val="6"/>
    <w:uiPriority w:val="0"/>
    <w:rPr>
      <w:rFonts w:hint="default" w:ascii="Consolas" w:hAnsi="Consolas" w:eastAsia="Consolas" w:cs="Consolas"/>
      <w:sz w:val="21"/>
      <w:szCs w:val="21"/>
    </w:rPr>
  </w:style>
  <w:style w:type="character" w:customStyle="1" w:styleId="14">
    <w:name w:val="month"/>
    <w:basedOn w:val="6"/>
    <w:uiPriority w:val="0"/>
    <w:rPr>
      <w:caps/>
      <w:color w:val="FFFFFF"/>
      <w:sz w:val="18"/>
      <w:szCs w:val="18"/>
      <w:bdr w:val="none" w:color="auto" w:sz="0" w:space="0"/>
      <w:shd w:val="clear" w:fill="B5BEBE"/>
    </w:rPr>
  </w:style>
  <w:style w:type="character" w:customStyle="1" w:styleId="15">
    <w:name w:val="lxsx"/>
    <w:basedOn w:val="6"/>
    <w:uiPriority w:val="0"/>
    <w:rPr>
      <w:color w:val="0055B0"/>
    </w:rPr>
  </w:style>
  <w:style w:type="character" w:customStyle="1" w:styleId="16">
    <w:name w:val="label6"/>
    <w:basedOn w:val="6"/>
    <w:uiPriority w:val="0"/>
    <w:rPr>
      <w:color w:val="888888"/>
    </w:rPr>
  </w:style>
  <w:style w:type="character" w:customStyle="1" w:styleId="17">
    <w:name w:val="mark"/>
    <w:basedOn w:val="6"/>
    <w:uiPriority w:val="0"/>
  </w:style>
  <w:style w:type="character" w:customStyle="1" w:styleId="18">
    <w:name w:val="mark1"/>
    <w:basedOn w:val="6"/>
    <w:uiPriority w:val="0"/>
  </w:style>
  <w:style w:type="character" w:customStyle="1" w:styleId="19">
    <w:name w:val="mark2"/>
    <w:basedOn w:val="6"/>
    <w:uiPriority w:val="0"/>
  </w:style>
  <w:style w:type="character" w:customStyle="1" w:styleId="20">
    <w:name w:val="mark3"/>
    <w:basedOn w:val="6"/>
    <w:uiPriority w:val="0"/>
  </w:style>
  <w:style w:type="character" w:customStyle="1" w:styleId="21">
    <w:name w:val="mark4"/>
    <w:basedOn w:val="6"/>
    <w:uiPriority w:val="0"/>
  </w:style>
  <w:style w:type="character" w:customStyle="1" w:styleId="22">
    <w:name w:val="mark5"/>
    <w:basedOn w:val="6"/>
    <w:uiPriority w:val="0"/>
  </w:style>
  <w:style w:type="character" w:customStyle="1" w:styleId="23">
    <w:name w:val="mark6"/>
    <w:basedOn w:val="6"/>
    <w:uiPriority w:val="0"/>
  </w:style>
  <w:style w:type="character" w:customStyle="1" w:styleId="24">
    <w:name w:val="yes"/>
    <w:basedOn w:val="6"/>
    <w:uiPriority w:val="0"/>
    <w:rPr>
      <w:color w:val="5CB85C"/>
    </w:rPr>
  </w:style>
  <w:style w:type="character" w:customStyle="1" w:styleId="25">
    <w:name w:val="year"/>
    <w:basedOn w:val="6"/>
    <w:uiPriority w:val="0"/>
    <w:rPr>
      <w:sz w:val="18"/>
      <w:szCs w:val="18"/>
      <w:bdr w:val="none" w:color="auto" w:sz="0" w:space="0"/>
    </w:rPr>
  </w:style>
  <w:style w:type="character" w:customStyle="1" w:styleId="26">
    <w:name w:val="maildate"/>
    <w:basedOn w:val="6"/>
    <w:uiPriority w:val="0"/>
    <w:rPr>
      <w:color w:val="888888"/>
      <w:sz w:val="14"/>
      <w:szCs w:val="14"/>
    </w:rPr>
  </w:style>
  <w:style w:type="character" w:customStyle="1" w:styleId="27">
    <w:name w:val="replied"/>
    <w:basedOn w:val="6"/>
    <w:uiPriority w:val="0"/>
  </w:style>
  <w:style w:type="character" w:customStyle="1" w:styleId="28">
    <w:name w:val="day2"/>
    <w:basedOn w:val="6"/>
    <w:uiPriority w:val="0"/>
    <w:rPr>
      <w:b/>
      <w:bCs/>
      <w:sz w:val="42"/>
      <w:szCs w:val="42"/>
    </w:rPr>
  </w:style>
  <w:style w:type="character" w:customStyle="1" w:styleId="29">
    <w:name w:val="no"/>
    <w:basedOn w:val="6"/>
    <w:uiPriority w:val="0"/>
    <w:rPr>
      <w:color w:val="D9534F"/>
    </w:rPr>
  </w:style>
  <w:style w:type="character" w:customStyle="1" w:styleId="30">
    <w:name w:val="pubdate"/>
    <w:basedOn w:val="6"/>
    <w:uiPriority w:val="0"/>
  </w:style>
  <w:style w:type="character" w:customStyle="1" w:styleId="31">
    <w:name w:val="unread1"/>
    <w:basedOn w:val="6"/>
    <w:uiPriority w:val="0"/>
  </w:style>
  <w:style w:type="character" w:customStyle="1" w:styleId="32">
    <w:name w:val="attachement"/>
    <w:basedOn w:val="6"/>
    <w:uiPriority w:val="0"/>
  </w:style>
  <w:style w:type="character" w:customStyle="1" w:styleId="33">
    <w:name w:val="state-unread"/>
    <w:basedOn w:val="6"/>
    <w:uiPriority w:val="0"/>
    <w:rPr>
      <w:color w:val="1EB0F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2022-08-08T10:36:17Z</dcterms:created>
  <dc:creator>13127</dc:creator>
  <cp:lastModifiedBy>邹小鱼鱼鱼呀</cp:lastModifiedBy>
  <dcterms:modified xsi:type="dcterms:W3CDTF">2022-08-08T10:38:06Z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133D62A36CCC4F2CAE211209D6598120</vt:lpwstr>
  </property>
</Properties>
</file>