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jc w:val="center"/>
        <w:rPr>
          <w:rFonts w:ascii="微软雅黑" w:hAnsi="微软雅黑" w:eastAsia="微软雅黑" w:cs="Arial"/>
          <w:color w:val="333333"/>
          <w:sz w:val="21"/>
          <w:szCs w:val="21"/>
        </w:rPr>
      </w:pPr>
      <w:r>
        <w:rPr>
          <w:rFonts w:hint="eastAsia" w:ascii="仿宋" w:hAnsi="仿宋" w:eastAsia="仿宋" w:cs="Arial"/>
          <w:b/>
          <w:bCs/>
          <w:color w:val="FF0000"/>
          <w:sz w:val="32"/>
          <w:szCs w:val="32"/>
        </w:rPr>
        <w:t>关于印发《中共上海海事大学委员会</w:t>
      </w:r>
    </w:p>
    <w:p>
      <w:pPr>
        <w:pStyle w:val="4"/>
        <w:spacing w:line="360" w:lineRule="auto"/>
        <w:jc w:val="center"/>
        <w:rPr>
          <w:rFonts w:hint="eastAsia" w:ascii="微软雅黑" w:hAnsi="微软雅黑" w:eastAsia="微软雅黑" w:cs="Arial"/>
          <w:color w:val="333333"/>
          <w:sz w:val="21"/>
          <w:szCs w:val="21"/>
        </w:rPr>
      </w:pPr>
      <w:r>
        <w:rPr>
          <w:rFonts w:hint="eastAsia" w:ascii="仿宋" w:hAnsi="仿宋" w:eastAsia="仿宋" w:cs="Arial"/>
          <w:b/>
          <w:bCs/>
          <w:color w:val="FF0000"/>
          <w:sz w:val="32"/>
          <w:szCs w:val="32"/>
        </w:rPr>
        <w:t>关于加强学生党支部建设的意见》的通知</w:t>
      </w:r>
    </w:p>
    <w:p>
      <w:pPr>
        <w:pStyle w:val="4"/>
        <w:spacing w:line="440" w:lineRule="atLeast"/>
        <w:ind w:right="-126"/>
        <w:jc w:val="center"/>
        <w:rPr>
          <w:rFonts w:hint="eastAsia" w:ascii="微软雅黑" w:hAnsi="微软雅黑" w:eastAsia="微软雅黑" w:cs="Arial"/>
          <w:color w:val="333333"/>
          <w:sz w:val="21"/>
          <w:szCs w:val="21"/>
        </w:rPr>
      </w:pPr>
      <w:r>
        <w:rPr>
          <w:rFonts w:hint="eastAsia" w:ascii="仿宋" w:hAnsi="仿宋" w:eastAsia="仿宋" w:cs="Arial"/>
          <w:color w:val="333333"/>
          <w:sz w:val="28"/>
          <w:szCs w:val="28"/>
        </w:rPr>
        <w:t>沪海大委〔2018〕49号</w:t>
      </w:r>
    </w:p>
    <w:p>
      <w:pPr>
        <w:pStyle w:val="4"/>
        <w:spacing w:line="440" w:lineRule="atLeast"/>
        <w:jc w:val="center"/>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spacing w:line="440" w:lineRule="atLeast"/>
        <w:rPr>
          <w:rFonts w:hint="eastAsia" w:ascii="微软雅黑" w:hAnsi="微软雅黑" w:eastAsia="微软雅黑" w:cs="Arial"/>
          <w:color w:val="333333"/>
          <w:sz w:val="21"/>
          <w:szCs w:val="21"/>
        </w:rPr>
      </w:pPr>
      <w:r>
        <w:rPr>
          <w:rFonts w:hint="eastAsia" w:ascii="仿宋" w:hAnsi="仿宋" w:eastAsia="仿宋" w:cs="Arial"/>
          <w:color w:val="333333"/>
          <w:sz w:val="28"/>
          <w:szCs w:val="28"/>
        </w:rPr>
        <w:t>各学院党委、党总支、直属党支部；</w:t>
      </w:r>
    </w:p>
    <w:p>
      <w:pPr>
        <w:pStyle w:val="4"/>
        <w:spacing w:line="440" w:lineRule="atLeast"/>
        <w:rPr>
          <w:rFonts w:hint="eastAsia" w:ascii="微软雅黑" w:hAnsi="微软雅黑" w:eastAsia="微软雅黑" w:cs="Arial"/>
          <w:color w:val="333333"/>
          <w:sz w:val="21"/>
          <w:szCs w:val="21"/>
        </w:rPr>
      </w:pPr>
      <w:r>
        <w:rPr>
          <w:rFonts w:hint="eastAsia" w:ascii="仿宋" w:hAnsi="仿宋" w:eastAsia="仿宋" w:cs="Arial"/>
          <w:color w:val="333333"/>
          <w:sz w:val="28"/>
          <w:szCs w:val="28"/>
        </w:rPr>
        <w:t>高技院、继教院、港湾学校党委：</w:t>
      </w:r>
    </w:p>
    <w:p>
      <w:pPr>
        <w:pStyle w:val="4"/>
        <w:spacing w:line="440" w:lineRule="atLeast"/>
        <w:rPr>
          <w:rFonts w:hint="eastAsia" w:ascii="微软雅黑" w:hAnsi="微软雅黑" w:eastAsia="微软雅黑" w:cs="Arial"/>
          <w:color w:val="333333"/>
          <w:sz w:val="21"/>
          <w:szCs w:val="21"/>
        </w:rPr>
      </w:pPr>
      <w:r>
        <w:rPr>
          <w:rFonts w:hint="eastAsia" w:ascii="仿宋" w:hAnsi="仿宋" w:eastAsia="仿宋" w:cs="Arial"/>
          <w:color w:val="333333"/>
          <w:sz w:val="28"/>
          <w:szCs w:val="28"/>
        </w:rPr>
        <w:t>校内各部门：</w:t>
      </w:r>
    </w:p>
    <w:p>
      <w:pPr>
        <w:pStyle w:val="4"/>
        <w:spacing w:line="440" w:lineRule="atLeast"/>
        <w:ind w:right="-126" w:firstLine="560"/>
        <w:rPr>
          <w:rFonts w:hint="eastAsia" w:ascii="微软雅黑" w:hAnsi="微软雅黑" w:eastAsia="微软雅黑" w:cs="Arial"/>
          <w:color w:val="333333"/>
          <w:sz w:val="21"/>
          <w:szCs w:val="21"/>
        </w:rPr>
      </w:pPr>
      <w:r>
        <w:rPr>
          <w:rFonts w:hint="eastAsia" w:ascii="仿宋" w:hAnsi="仿宋" w:eastAsia="仿宋" w:cs="Arial"/>
          <w:color w:val="333333"/>
          <w:sz w:val="28"/>
          <w:szCs w:val="28"/>
        </w:rPr>
        <w:t>经党委同意，现将《中共上海海事大学委员会关于加强学生党支部建设的意见》印发给你们，请遵照执行。</w:t>
      </w:r>
    </w:p>
    <w:p>
      <w:pPr>
        <w:pStyle w:val="4"/>
        <w:spacing w:line="440" w:lineRule="atLeast"/>
        <w:ind w:firstLine="560"/>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spacing w:line="500" w:lineRule="atLeast"/>
        <w:ind w:left="1190" w:hanging="560"/>
        <w:rPr>
          <w:rFonts w:hint="eastAsia" w:ascii="微软雅黑" w:hAnsi="微软雅黑" w:eastAsia="微软雅黑" w:cs="Arial"/>
          <w:color w:val="333333"/>
          <w:sz w:val="21"/>
          <w:szCs w:val="21"/>
        </w:rPr>
      </w:pPr>
      <w:r>
        <w:rPr>
          <w:rFonts w:hint="eastAsia" w:ascii="仿宋" w:hAnsi="仿宋" w:eastAsia="仿宋" w:cs="Arial"/>
          <w:color w:val="333333"/>
          <w:sz w:val="28"/>
          <w:szCs w:val="28"/>
        </w:rPr>
        <w:t>附件：中共上海海事大学委员会关于加强学生党支部建设的意见</w:t>
      </w:r>
    </w:p>
    <w:p>
      <w:pPr>
        <w:pStyle w:val="4"/>
        <w:spacing w:line="500" w:lineRule="atLeast"/>
        <w:ind w:left="1260" w:hanging="840"/>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spacing w:line="500" w:lineRule="atLeast"/>
        <w:ind w:firstLine="5040"/>
        <w:rPr>
          <w:rFonts w:hint="eastAsia" w:ascii="微软雅黑" w:hAnsi="微软雅黑" w:eastAsia="微软雅黑" w:cs="Arial"/>
          <w:color w:val="333333"/>
          <w:sz w:val="21"/>
          <w:szCs w:val="21"/>
        </w:rPr>
      </w:pPr>
      <w:r>
        <w:rPr>
          <w:rFonts w:hint="eastAsia" w:ascii="仿宋" w:hAnsi="仿宋" w:eastAsia="仿宋" w:cs="Arial"/>
          <w:color w:val="333333"/>
          <w:sz w:val="28"/>
          <w:szCs w:val="28"/>
        </w:rPr>
        <w:t>中共上海海事大学委员会</w:t>
      </w:r>
    </w:p>
    <w:p>
      <w:pPr>
        <w:pStyle w:val="4"/>
        <w:spacing w:line="500" w:lineRule="atLeast"/>
        <w:ind w:firstLine="5600"/>
        <w:rPr>
          <w:rFonts w:hint="eastAsia" w:ascii="微软雅黑" w:hAnsi="微软雅黑" w:eastAsia="微软雅黑" w:cs="Arial"/>
          <w:color w:val="333333"/>
          <w:sz w:val="21"/>
          <w:szCs w:val="21"/>
        </w:rPr>
      </w:pPr>
      <w:r>
        <w:rPr>
          <w:rFonts w:hint="eastAsia" w:ascii="仿宋" w:hAnsi="仿宋" w:eastAsia="仿宋" w:cs="Arial"/>
          <w:color w:val="333333"/>
          <w:sz w:val="28"/>
          <w:szCs w:val="28"/>
        </w:rPr>
        <w:t>2018年11月7日</w:t>
      </w:r>
      <w:r>
        <w:rPr>
          <w:rFonts w:hint="eastAsia"/>
          <w:color w:val="333333"/>
          <w:sz w:val="28"/>
          <w:szCs w:val="28"/>
        </w:rPr>
        <w:t> </w:t>
      </w:r>
      <w:r>
        <w:rPr>
          <w:rFonts w:hint="eastAsia" w:ascii="仿宋" w:hAnsi="仿宋" w:eastAsia="仿宋" w:cs="Arial"/>
          <w:color w:val="333333"/>
          <w:sz w:val="28"/>
          <w:szCs w:val="28"/>
        </w:rPr>
        <w:t xml:space="preserve"> </w:t>
      </w:r>
    </w:p>
    <w:p>
      <w:pPr>
        <w:pStyle w:val="4"/>
        <w:spacing w:line="500" w:lineRule="atLeast"/>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spacing w:after="233" w:line="440" w:lineRule="atLeast"/>
        <w:ind w:firstLine="643"/>
        <w:jc w:val="center"/>
        <w:rPr>
          <w:rFonts w:hint="eastAsia" w:ascii="仿宋" w:hAnsi="仿宋" w:eastAsia="仿宋" w:cs="Arial"/>
          <w:b/>
          <w:bCs/>
          <w:color w:val="333333"/>
          <w:sz w:val="32"/>
          <w:szCs w:val="32"/>
        </w:rPr>
      </w:pPr>
    </w:p>
    <w:p>
      <w:pPr>
        <w:pStyle w:val="4"/>
        <w:spacing w:after="233" w:line="440" w:lineRule="atLeast"/>
        <w:ind w:firstLine="643"/>
        <w:jc w:val="center"/>
        <w:rPr>
          <w:rFonts w:hint="eastAsia" w:ascii="微软雅黑" w:hAnsi="微软雅黑" w:eastAsia="微软雅黑" w:cs="Arial"/>
          <w:color w:val="333333"/>
          <w:sz w:val="21"/>
          <w:szCs w:val="21"/>
        </w:rPr>
      </w:pPr>
      <w:r>
        <w:rPr>
          <w:rFonts w:hint="eastAsia" w:ascii="仿宋" w:hAnsi="仿宋" w:eastAsia="仿宋" w:cs="Arial"/>
          <w:b/>
          <w:bCs/>
          <w:color w:val="333333"/>
          <w:sz w:val="32"/>
          <w:szCs w:val="32"/>
        </w:rPr>
        <w:t>中共上海海事大学委员会关于加强学生党支部建设的意见</w:t>
      </w:r>
    </w:p>
    <w:p>
      <w:pPr>
        <w:pStyle w:val="4"/>
        <w:spacing w:line="440" w:lineRule="atLeast"/>
        <w:ind w:firstLine="560"/>
        <w:rPr>
          <w:rFonts w:hint="eastAsia" w:ascii="微软雅黑" w:hAnsi="微软雅黑" w:eastAsia="微软雅黑" w:cs="Arial"/>
          <w:color w:val="333333"/>
          <w:sz w:val="21"/>
          <w:szCs w:val="21"/>
        </w:rPr>
      </w:pPr>
      <w:r>
        <w:rPr>
          <w:rFonts w:hint="eastAsia" w:ascii="仿宋" w:hAnsi="仿宋" w:eastAsia="仿宋" w:cs="Arial"/>
          <w:color w:val="333333"/>
          <w:sz w:val="28"/>
          <w:szCs w:val="28"/>
        </w:rPr>
        <w:t>为深入贯彻落实中共中央国务院《关于加强和改进新形势下高校思想政治工作的意见》，推进学校学生党支部标准化、规范化建设，提升学生党建工作质量，根据教育部党组《普通高等学校学生党建工作标准》和市教卫工作党委《关于加强新形势下高校学生党支部建设的意见》及有关规定，结合学校实际，现就加强学生党支部建设提出如下意见。</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一、重要意义和指导思想</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1.重要意义。</w:t>
      </w:r>
      <w:r>
        <w:rPr>
          <w:rFonts w:hint="eastAsia" w:ascii="仿宋" w:hAnsi="仿宋" w:eastAsia="仿宋" w:cs="Arial"/>
          <w:color w:val="333333"/>
          <w:sz w:val="28"/>
          <w:szCs w:val="28"/>
        </w:rPr>
        <w:t>学生党支部是党联系青年学生的桥梁和纽带，承担着学生党员培养发展和教育管理监督的重要职责，肩负着团结带领广大学生勤奋学习、成长成才、全面发展的重要使命。加强学生党支部建设，对于全面贯彻党的教育方针、落实立德树人根本任务，对于做好新形势下大学生思想政治教育工作、培养中国特色社会主义事业建设者和接班人，具有十分重大而现实的意义。</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2.指导思想。</w:t>
      </w:r>
      <w:r>
        <w:rPr>
          <w:rFonts w:hint="eastAsia" w:ascii="仿宋" w:hAnsi="仿宋" w:eastAsia="仿宋" w:cs="Arial"/>
          <w:color w:val="333333"/>
          <w:sz w:val="28"/>
          <w:szCs w:val="28"/>
        </w:rPr>
        <w:t>以习近平新时代中国特色社会主义思想为指导，深入学习贯彻党的十九大精神，深入贯彻落实全国、上海高校思想政治工作会议精神，推进学生党支部建设制度化、规范化、科学化。坚持以提升组织力为重点，突出政治功能，努力把学生党支部建设成为教育管理监督学生党员和组织宣传凝聚服务广大学生的坚强战斗堡垒，引导广大学生党员发挥先锋模范作用，引导广大学生树立为共产主义远大理想和中国特色社会主义共同理想而奋斗的信念和信心，为实现社会主义现代化和中华民族伟大复兴、培养社会主义建设者和接班人提供坚强的组织保证。</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二、合理设置党支部</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3.设置原则。</w:t>
      </w:r>
      <w:r>
        <w:rPr>
          <w:rFonts w:hint="eastAsia" w:ascii="仿宋" w:hAnsi="仿宋" w:eastAsia="仿宋" w:cs="Arial"/>
          <w:color w:val="333333"/>
          <w:sz w:val="28"/>
          <w:szCs w:val="28"/>
        </w:rPr>
        <w:t>按照有利于发挥党支部战斗堡垒作用和党员先锋模范作用、有利于开展党员教育管理服务活动的原则，在按年级或院（系）设置学生党支部的基础上，根据实际需要，探索依托重大项目组、课题组和学生公寓、社区、社团组织等建立党组织，探索学生党建工作向最活跃、最具创新能力的组织拓展，扩大党的覆盖面，做到哪里有学生党员哪里就有学生党组织，哪里有党组织哪里就有健全的组织生活和党组织作用的充分发挥。合理控制党支部党员人数规模，一般在30人以内。人数较多的党支部可设置若干个党小组。设立临时学生党支部、党员活动站（服务站）等，应提前向学校党委组织部报备。</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4.任期与换届。</w:t>
      </w:r>
      <w:r>
        <w:rPr>
          <w:rFonts w:hint="eastAsia" w:ascii="仿宋" w:hAnsi="仿宋" w:eastAsia="仿宋" w:cs="Arial"/>
          <w:color w:val="333333"/>
          <w:sz w:val="28"/>
          <w:szCs w:val="28"/>
        </w:rPr>
        <w:t>党员人数在7人以上（至少有3名正式党员）的党支部设立支部委员会，支部委员会一般由3-5人组成，经党员大会选举产生。党员不足7人的党支部，不设支部委员会，由党员大会选举支部书记1人，必要时可增选副书记1人。支部委员会和不设支部委员会的支部书记、副书记每届任期三年。党支部换届选举工作应按照党内换届选举的有关规定，以公推直选方式，差额选举党支部委员，直接选举产生党支部书记（副书记）,选举结果经上级党组织批准后报校党委组织部备案。</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三、选优配强党支部书记</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5.严格选配标准。</w:t>
      </w:r>
      <w:r>
        <w:rPr>
          <w:rFonts w:hint="eastAsia" w:ascii="仿宋" w:hAnsi="仿宋" w:eastAsia="仿宋" w:cs="Arial"/>
          <w:color w:val="333333"/>
          <w:sz w:val="28"/>
          <w:szCs w:val="28"/>
        </w:rPr>
        <w:t>学院党委（党总支）要按照守信念、重品行、有本领、敢担当、讲奉献的要求，选优配强学生党支部书记。本科生党支部书记一般由辅导员、党员教师担任，研究生党支部书记可由党员导师或优秀研究生党员担任。学生党支部书记要认真履行职责，全面负责党支部各项建设，注重增强党员的组织观念和党性意识，努力使党支部成为引领广大学生团结进步和开展思想政治教育的核心力量。</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6.抓好教育培训。</w:t>
      </w:r>
      <w:r>
        <w:rPr>
          <w:rFonts w:hint="eastAsia" w:ascii="仿宋" w:hAnsi="仿宋" w:eastAsia="仿宋" w:cs="Arial"/>
          <w:color w:val="333333"/>
          <w:sz w:val="28"/>
          <w:szCs w:val="28"/>
        </w:rPr>
        <w:t>学校党委组织部、党校、学生工作部门和学院党委（党总支）应加强对学生党支部书记的培训，培训要坚持理论和实践相结合，既要讲清党的基本理论，又要抓好党务实践教学，不断提高党支部书记的综合素质和工作能力。鼓励将学生党支部书记培训与辅导员、专职组织员、特邀党建组织员培训结合起来，组织开展专题研讨和调研，共同探讨学生党建的新思路、新方法和新载体，发挥党建工作合力。</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四、加强党员发展和教育管理工作</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7.保证发展党员质量。</w:t>
      </w:r>
      <w:r>
        <w:rPr>
          <w:rFonts w:hint="eastAsia" w:ascii="仿宋" w:hAnsi="仿宋" w:eastAsia="仿宋" w:cs="Arial"/>
          <w:color w:val="333333"/>
          <w:sz w:val="28"/>
          <w:szCs w:val="28"/>
        </w:rPr>
        <w:t>做好高中与高校、高校与高校、高校与社会在入党积极分子培养过程中的衔接工作。要在新生入学教育、党章学习小组、入党积极分子培养教育过程中，通过入党基础知识教育，提高学生对党的认识，激发学生向党组织靠拢的政治热情。要将党章规定的党员标准具体化，始终把政治标准放在首位，全面考察发展对象思想政治、能力素质、道德品行、现实表现等方面情况，探索建立包括班导师、党员教师、辅导员、班级同学等多元主体参与的评价体系。严格落实培养、预审、公示、谈话、审批和接收、转正等发展程序及要求，严把发展关口，确保发展质量。</w:t>
      </w:r>
    </w:p>
    <w:p>
      <w:pPr>
        <w:pStyle w:val="4"/>
        <w:spacing w:line="440" w:lineRule="atLeast"/>
        <w:ind w:firstLine="551"/>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8.加强党员教育。</w:t>
      </w:r>
      <w:r>
        <w:rPr>
          <w:rFonts w:hint="eastAsia" w:ascii="仿宋" w:hAnsi="仿宋" w:eastAsia="仿宋" w:cs="Arial"/>
          <w:color w:val="333333"/>
          <w:sz w:val="28"/>
          <w:szCs w:val="28"/>
        </w:rPr>
        <w:t>把学习贯彻习近平新时代中国特色社会主义思想作为党员教育的根本任务，着力加强理论教育、政治教育、革命传统教育和形势政策教育。注重集中学习与日常教育相结合、组织学习与自我教育相结合，学生党员每年集中培训时间一般不少于32个学时。结合学生自我管理、学术交流、职业规划、志愿服务等，积极拓宽学生党员实践教育渠道，使党支部工作更加贴近广大学生的思想、学习、工作和生活。充分利用网络新媒体、网上党员教育平台等，提高党支部开展思想教育的影响力和感染力。</w:t>
      </w:r>
    </w:p>
    <w:p>
      <w:pPr>
        <w:pStyle w:val="4"/>
        <w:spacing w:line="440" w:lineRule="atLeast"/>
        <w:ind w:firstLine="551"/>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9.加强党员管理。</w:t>
      </w:r>
      <w:r>
        <w:rPr>
          <w:rFonts w:hint="eastAsia" w:ascii="仿宋" w:hAnsi="仿宋" w:eastAsia="仿宋" w:cs="Arial"/>
          <w:color w:val="333333"/>
          <w:sz w:val="28"/>
          <w:szCs w:val="28"/>
        </w:rPr>
        <w:t>学院党委（党总支）应及时将学生党员纳入党的组织管理。严格执行学生党员组织关系接转规定，杜绝“失联党员”“口袋党员”等现象的发生。规范组织关系保留在学校的学生党员教育管理，严格落实出国（境）学生党员党籍管理等工作。严格执行党费收缴、使用和管理规定，教育学生党员自觉按时足额交纳党费。加强学生党员日常管理监督，及时稳妥处置不合格党员，及时对违纪违法党员进行处理。</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10.严格组织生活。</w:t>
      </w:r>
      <w:r>
        <w:rPr>
          <w:rFonts w:hint="eastAsia" w:ascii="仿宋" w:hAnsi="仿宋" w:eastAsia="仿宋" w:cs="Arial"/>
          <w:color w:val="333333"/>
          <w:sz w:val="28"/>
          <w:szCs w:val="28"/>
        </w:rPr>
        <w:t>严格“三会一课”制度，学生党支部组织学生党员按期参加党员大会、党小组会和上党课，定期召开党支部委员会会议。党支部书记每年至少为党员讲一次党课。“三会一课”要以“两学一做”学习教育为主要内容，突出政治学习和教育，突出党性锻炼。严格主题党日制度，不断丰富学生党支部主题党日活动内容，创新学生党支部主题党日活动形式。学院党委（党总支）要针对新时期学生党员的特点，加强对学生党支部组织生活的指导，倡导开放式、互动式组织生活，增强组织生活成效，努力做到“有主题、有讨论、有共识、有行动”。坚持专题组织生活会制度，每年至少召开一次专题组织生活会，深入开展批评与自我批评。</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五、着力发挥党支部和党员作用</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11.发挥党支部的战斗堡垒作用。</w:t>
      </w:r>
      <w:r>
        <w:rPr>
          <w:rFonts w:hint="eastAsia" w:ascii="仿宋" w:hAnsi="仿宋" w:eastAsia="仿宋" w:cs="Arial"/>
          <w:color w:val="333333"/>
          <w:sz w:val="28"/>
          <w:szCs w:val="28"/>
        </w:rPr>
        <w:t>充分发挥党支部在教育管理监督党员和组织宣传凝聚服务学生方面的主体作用。有效开展学习型、服务型、创新型党支部创建，积极探索“党建+”“党建带”“党建联”等工作模式，扎实推进学生专业学习、志愿服务、社会实践、就业创业等方面工作。坚持解决思想问题与实际问题相结合，注重人文关怀和心理疏导，在引领优良班风、校风、学风、践行社会主义核心价值观和维护学校改革发展稳定大局中发挥战斗堡垒作用。</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12.发挥党员的先锋模范作用。</w:t>
      </w:r>
      <w:r>
        <w:rPr>
          <w:rFonts w:hint="eastAsia" w:ascii="仿宋" w:hAnsi="仿宋" w:eastAsia="仿宋" w:cs="Arial"/>
          <w:color w:val="333333"/>
          <w:sz w:val="28"/>
          <w:szCs w:val="28"/>
        </w:rPr>
        <w:t>引领学生党员严格遵守党章党纪党规，带头遵守国家法律和校纪校规，做遵纪守法的标杆；带头践行社会主义核心价值观，做“勤学、修德、明辨、笃实”的表率；带头落实“四个合格”目标要求，做党的路线方针政策的宣传者，做朋辈帮扶、互助友爱的践行者，做就业创业、志愿服务国家需要的争先者，做钻研科学知识、勇攀科学高峰的探索者。研究生党员在学术研究、恪守学术道德中的模范带头作用充分发挥，毕业生党员在创新创业中的导向和示范作用突出。定期开展评选表彰优秀学生党员工作，工作选树先进典型，用身边人、身边事教育影响其他学生。</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六、切实加强组织保障</w:t>
      </w:r>
    </w:p>
    <w:p>
      <w:pPr>
        <w:pStyle w:val="4"/>
        <w:spacing w:line="440" w:lineRule="atLeast"/>
        <w:ind w:firstLine="56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13.加强组织领导。</w:t>
      </w:r>
      <w:r>
        <w:rPr>
          <w:rFonts w:hint="eastAsia" w:ascii="仿宋" w:hAnsi="仿宋" w:eastAsia="仿宋" w:cs="Arial"/>
          <w:color w:val="333333"/>
          <w:sz w:val="28"/>
          <w:szCs w:val="28"/>
        </w:rPr>
        <w:t>建立健全学生党建工作领导机制，形成学校党委统一领导，组织部牵头抓总，学生工作部、研究生工作部、宣传部、校团委、教务处、人事处等部门协同配合，学院党委（党总支）负责实施、学生党支部具体落实的学生党建工作格局。学校党委将学生党建工作纳入学校党建工作规划和年度工作计划，学院党委（党总支）要定期研究学生党建工作，做到有规划、有部署、有检查、有落实。</w:t>
      </w:r>
    </w:p>
    <w:p>
      <w:pPr>
        <w:pStyle w:val="4"/>
        <w:spacing w:line="440" w:lineRule="atLeast"/>
        <w:ind w:firstLine="42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14.强化考核激励。</w:t>
      </w:r>
      <w:r>
        <w:rPr>
          <w:rFonts w:hint="eastAsia" w:ascii="仿宋" w:hAnsi="仿宋" w:eastAsia="仿宋" w:cs="Arial"/>
          <w:color w:val="333333"/>
          <w:sz w:val="28"/>
          <w:szCs w:val="28"/>
        </w:rPr>
        <w:t>学校党委每年对各学院学生党支部建设情况进行检查，定期开展先进党支部、优秀党员评选表彰。加强先进典型的表彰宣传，增强正向激励。在直升研究生、评优、奖学金评定、社会实践、志愿服务等工作中优先考虑学生党支部书记的工作经历。学院党委（党总支）根据上级党委的要求，加强对学生党支部的工作考核，并将考核结果作为党内评优的重要依据。</w:t>
      </w:r>
    </w:p>
    <w:p>
      <w:pPr>
        <w:pStyle w:val="4"/>
        <w:spacing w:line="440" w:lineRule="atLeast"/>
        <w:ind w:firstLine="422"/>
        <w:rPr>
          <w:rFonts w:hint="eastAsia" w:ascii="微软雅黑" w:hAnsi="微软雅黑" w:eastAsia="微软雅黑" w:cs="Arial"/>
          <w:color w:val="333333"/>
          <w:sz w:val="21"/>
          <w:szCs w:val="21"/>
        </w:rPr>
      </w:pPr>
      <w:r>
        <w:rPr>
          <w:rFonts w:hint="eastAsia" w:ascii="仿宋" w:hAnsi="仿宋" w:eastAsia="仿宋" w:cs="Arial"/>
          <w:b/>
          <w:bCs/>
          <w:color w:val="333333"/>
          <w:sz w:val="28"/>
          <w:szCs w:val="28"/>
        </w:rPr>
        <w:t>15.落实保障措施。</w:t>
      </w:r>
      <w:r>
        <w:rPr>
          <w:rFonts w:hint="eastAsia" w:ascii="仿宋" w:hAnsi="仿宋" w:eastAsia="仿宋" w:cs="Arial"/>
          <w:color w:val="333333"/>
          <w:sz w:val="28"/>
          <w:szCs w:val="28"/>
        </w:rPr>
        <w:t>学校党委将学生党建工作经费纳入学校年度经费预算，并明确具体标准。学院党委（党总支）要健全相关制度，加大学生党建活动场所和设施建设，建立多种形式的学生党员教育、实践和服务基地。依托“易班”等载体，建立党建信息化平台，加强“两微一端”建设，为学生党支部开展工作提供支持，创造条件。</w:t>
      </w:r>
    </w:p>
    <w:p>
      <w:pPr>
        <w:pStyle w:val="4"/>
        <w:spacing w:line="440" w:lineRule="atLeast"/>
        <w:ind w:firstLine="422"/>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spacing w:line="440" w:lineRule="atLeast"/>
        <w:ind w:firstLine="422"/>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4"/>
        <w:spacing w:line="440" w:lineRule="atLeast"/>
        <w:rPr>
          <w:rFonts w:hint="eastAsia" w:ascii="微软雅黑" w:hAnsi="微软雅黑" w:eastAsia="微软雅黑" w:cs="Arial"/>
          <w:color w:val="333333"/>
          <w:sz w:val="21"/>
          <w:szCs w:val="21"/>
        </w:rPr>
      </w:pPr>
      <w:r>
        <w:rPr>
          <w:rFonts w:hint="eastAsia" w:ascii="仿宋" w:hAnsi="仿宋" w:eastAsia="仿宋" w:cs="Arial"/>
          <w:color w:val="333333"/>
          <w:sz w:val="28"/>
          <w:szCs w:val="28"/>
          <w:u w:val="single"/>
        </w:rPr>
        <w:t>中共上海海事大学委员会办公室</w:t>
      </w:r>
      <w:r>
        <w:rPr>
          <w:rFonts w:hint="eastAsia"/>
          <w:color w:val="333333"/>
          <w:sz w:val="28"/>
          <w:szCs w:val="28"/>
          <w:u w:val="single"/>
        </w:rPr>
        <w:t>        </w:t>
      </w:r>
      <w:r>
        <w:rPr>
          <w:rFonts w:hint="eastAsia" w:ascii="仿宋" w:hAnsi="仿宋" w:eastAsia="仿宋" w:cs="Arial"/>
          <w:color w:val="333333"/>
          <w:sz w:val="28"/>
          <w:szCs w:val="28"/>
          <w:u w:val="single"/>
        </w:rPr>
        <w:t xml:space="preserve"> 2018年11月7日印发</w:t>
      </w:r>
      <w:r>
        <w:rPr>
          <w:rFonts w:hint="eastAsia" w:ascii="微软雅黑" w:hAnsi="微软雅黑" w:eastAsia="微软雅黑" w:cs="Arial"/>
          <w:color w:val="333333"/>
          <w:sz w:val="21"/>
          <w:szCs w:val="21"/>
        </w:rPr>
        <w:t>                                         </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spacing w:before="72" w:beforeLines="30" w:after="144" w:afterLines="60" w:line="240" w:lineRule="atLeast"/>
      <w:ind w:firstLine="360" w:firstLineChars="200"/>
      <w:jc w:val="center"/>
      <w:rPr>
        <w:rFonts w:ascii="Calibri" w:hAnsi="Calibri" w:eastAsia="宋体" w:cs="Times New Roman"/>
        <w:kern w:val="2"/>
        <w:sz w:val="24"/>
        <w:szCs w:val="24"/>
        <w:lang w:val="en-US" w:eastAsia="zh-CN" w:bidi="ar-SA"/>
      </w:rPr>
    </w:pPr>
    <w:bookmarkStart w:id="0" w:name="_GoBack"/>
    <w:r>
      <w:rPr>
        <w:rFonts w:hint="eastAsia" w:ascii="华文中宋" w:hAnsi="华文中宋" w:eastAsia="华文中宋" w:cs="Times New Roman"/>
        <w:b/>
        <w:kern w:val="2"/>
        <w:sz w:val="18"/>
        <w:szCs w:val="21"/>
        <w:lang w:val="en-US" w:eastAsia="zh-CN" w:bidi="ar-SA"/>
      </w:rPr>
      <w:drawing>
        <wp:anchor distT="0" distB="0" distL="114300" distR="114300" simplePos="0" relativeHeight="251659264" behindDoc="1" locked="0" layoutInCell="1" allowOverlap="1">
          <wp:simplePos x="0" y="0"/>
          <wp:positionH relativeFrom="column">
            <wp:posOffset>11430</wp:posOffset>
          </wp:positionH>
          <wp:positionV relativeFrom="paragraph">
            <wp:posOffset>73025</wp:posOffset>
          </wp:positionV>
          <wp:extent cx="1268095" cy="228600"/>
          <wp:effectExtent l="0" t="0" r="12065" b="0"/>
          <wp:wrapTight wrapText="bothSides">
            <wp:wrapPolygon>
              <wp:start x="0" y="0"/>
              <wp:lineTo x="0" y="20160"/>
              <wp:lineTo x="21286" y="20160"/>
              <wp:lineTo x="21286" y="0"/>
              <wp:lineTo x="0" y="0"/>
            </wp:wrapPolygon>
          </wp:wrapTight>
          <wp:docPr id="2"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3"/>
                  <pic:cNvPicPr>
                    <a:picLocks noChangeAspect="1"/>
                  </pic:cNvPicPr>
                </pic:nvPicPr>
                <pic:blipFill>
                  <a:blip r:embed="rId1"/>
                  <a:stretch>
                    <a:fillRect/>
                  </a:stretch>
                </pic:blipFill>
                <pic:spPr>
                  <a:xfrm>
                    <a:off x="0" y="0"/>
                    <a:ext cx="1268095" cy="228600"/>
                  </a:xfrm>
                  <a:prstGeom prst="rect">
                    <a:avLst/>
                  </a:prstGeom>
                  <a:noFill/>
                  <a:ln>
                    <a:noFill/>
                  </a:ln>
                </pic:spPr>
              </pic:pic>
            </a:graphicData>
          </a:graphic>
        </wp:anchor>
      </w:drawing>
    </w:r>
    <w:bookmarkEnd w:id="0"/>
    <w:r>
      <w:rPr>
        <w:rFonts w:hint="eastAsia" w:ascii="华文中宋" w:hAnsi="华文中宋" w:eastAsia="华文中宋" w:cs="Times New Roman"/>
        <w:b/>
        <w:kern w:val="2"/>
        <w:sz w:val="21"/>
        <w:szCs w:val="21"/>
        <w:lang w:val="en-US" w:eastAsia="zh-CN" w:bidi="ar-SA"/>
      </w:rPr>
      <w:t xml:space="preserve">                  </w:t>
    </w:r>
    <w:r>
      <w:rPr>
        <w:rFonts w:hint="eastAsia" w:ascii="华文中宋" w:hAnsi="华文中宋" w:eastAsia="华文中宋" w:cs="Times New Roman"/>
        <w:b/>
        <w:kern w:val="2"/>
        <w:sz w:val="24"/>
        <w:szCs w:val="24"/>
        <w:lang w:val="en-US" w:eastAsia="zh-CN" w:bidi="ar-SA"/>
      </w:rPr>
      <w:t>上海市高校文明校园创建材料</w:t>
    </w:r>
  </w:p>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0MjllNTY3MDFkOWEzYmUwNDEwM2UwZDViMTJmMGIifQ=="/>
  </w:docVars>
  <w:rsids>
    <w:rsidRoot w:val="00253DED"/>
    <w:rsid w:val="00253DED"/>
    <w:rsid w:val="006A043D"/>
    <w:rsid w:val="00782473"/>
    <w:rsid w:val="009E4B27"/>
    <w:rsid w:val="1B125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uiPriority w:val="99"/>
    <w:pPr>
      <w:widowControl/>
      <w:spacing w:after="15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3623</Words>
  <Characters>3660</Characters>
  <Lines>26</Lines>
  <Paragraphs>7</Paragraphs>
  <TotalTime>0</TotalTime>
  <ScaleCrop>false</ScaleCrop>
  <LinksUpToDate>false</LinksUpToDate>
  <CharactersWithSpaces>3718</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2019-10-06T04:17:00Z</dcterms:created>
  <dc:creator>Z</dc:creator>
  <cp:lastModifiedBy>邹小鱼鱼鱼呀</cp:lastModifiedBy>
  <dcterms:modified xsi:type="dcterms:W3CDTF">2022-08-08T10:36:02Z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A288F1FEDEE24C20BFAE256FE792C1EB</vt:lpwstr>
  </property>
</Properties>
</file>